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SESSION</w:t>
            </w:r>
          </w:p>
        </w:tc>
        <w:tc>
          <w:tcPr>
            <w:tcW w:w="3057" w:type="pct"/>
          </w:tcPr>
          <w:p w:rsidR="002601F3" w:rsidRPr="00DB1074" w:rsidRDefault="00362F3F" w:rsidP="00362F3F">
            <w:pPr>
              <w:spacing w:line="360" w:lineRule="auto"/>
              <w:jc w:val="both"/>
              <w:rPr>
                <w:b/>
                <w:caps/>
                <w:sz w:val="24"/>
                <w:szCs w:val="24"/>
              </w:rPr>
            </w:pPr>
            <w:r w:rsidRPr="00DB1074">
              <w:rPr>
                <w:b/>
                <w:sz w:val="24"/>
                <w:szCs w:val="24"/>
              </w:rPr>
              <w:t>MARCH 2025</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PROGRAM</w:t>
            </w:r>
          </w:p>
        </w:tc>
        <w:tc>
          <w:tcPr>
            <w:tcW w:w="3057" w:type="pct"/>
          </w:tcPr>
          <w:p w:rsidR="002601F3" w:rsidRPr="00DB1074" w:rsidRDefault="00362F3F" w:rsidP="00362F3F">
            <w:pPr>
              <w:spacing w:line="360" w:lineRule="auto"/>
              <w:jc w:val="both"/>
              <w:rPr>
                <w:b/>
                <w:caps/>
                <w:sz w:val="24"/>
                <w:szCs w:val="24"/>
              </w:rPr>
            </w:pPr>
            <w:r w:rsidRPr="00DB1074">
              <w:rPr>
                <w:b/>
                <w:sz w:val="24"/>
                <w:szCs w:val="24"/>
              </w:rPr>
              <w:t>BACHELOR OF COMMERCE (B.COM)</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SEMESTER</w:t>
            </w:r>
          </w:p>
        </w:tc>
        <w:tc>
          <w:tcPr>
            <w:tcW w:w="3057" w:type="pct"/>
          </w:tcPr>
          <w:p w:rsidR="002601F3" w:rsidRPr="00DB1074" w:rsidRDefault="00362F3F" w:rsidP="00362F3F">
            <w:pPr>
              <w:widowControl w:val="0"/>
              <w:autoSpaceDE w:val="0"/>
              <w:autoSpaceDN w:val="0"/>
              <w:adjustRightInd w:val="0"/>
              <w:spacing w:line="360" w:lineRule="auto"/>
              <w:jc w:val="both"/>
              <w:outlineLvl w:val="0"/>
              <w:rPr>
                <w:b/>
                <w:sz w:val="24"/>
                <w:szCs w:val="24"/>
              </w:rPr>
            </w:pPr>
            <w:r w:rsidRPr="00DB1074">
              <w:rPr>
                <w:b/>
                <w:sz w:val="24"/>
                <w:szCs w:val="24"/>
              </w:rPr>
              <w:t>VI</w:t>
            </w:r>
          </w:p>
        </w:tc>
      </w:tr>
      <w:tr w:rsidR="002601F3" w:rsidRPr="00DB1074" w:rsidTr="00362F3F">
        <w:trPr>
          <w:jc w:val="center"/>
        </w:trPr>
        <w:tc>
          <w:tcPr>
            <w:tcW w:w="1943" w:type="pct"/>
          </w:tcPr>
          <w:p w:rsidR="002601F3" w:rsidRPr="00DB1074" w:rsidRDefault="00362F3F" w:rsidP="00362F3F">
            <w:pPr>
              <w:spacing w:line="360" w:lineRule="auto"/>
              <w:jc w:val="both"/>
              <w:rPr>
                <w:b/>
                <w:caps/>
                <w:sz w:val="24"/>
                <w:szCs w:val="24"/>
              </w:rPr>
            </w:pPr>
            <w:r w:rsidRPr="00DB1074">
              <w:rPr>
                <w:b/>
                <w:sz w:val="24"/>
                <w:szCs w:val="24"/>
              </w:rPr>
              <w:t>COURSE CODE &amp; NAME</w:t>
            </w:r>
          </w:p>
        </w:tc>
        <w:tc>
          <w:tcPr>
            <w:tcW w:w="3057" w:type="pct"/>
          </w:tcPr>
          <w:p w:rsidR="002601F3" w:rsidRPr="00DB1074" w:rsidRDefault="00362F3F" w:rsidP="00362F3F">
            <w:pPr>
              <w:spacing w:line="360" w:lineRule="auto"/>
              <w:jc w:val="both"/>
              <w:rPr>
                <w:b/>
                <w:bCs/>
                <w:caps/>
                <w:sz w:val="24"/>
                <w:szCs w:val="24"/>
              </w:rPr>
            </w:pPr>
            <w:r w:rsidRPr="00DB1074">
              <w:rPr>
                <w:b/>
                <w:bCs/>
                <w:sz w:val="24"/>
                <w:szCs w:val="24"/>
              </w:rPr>
              <w:t>DCM3204 DIRECT TAXES</w:t>
            </w:r>
          </w:p>
        </w:tc>
      </w:tr>
      <w:tr w:rsidR="002601F3" w:rsidRPr="00DB1074" w:rsidTr="00362F3F">
        <w:trPr>
          <w:jc w:val="center"/>
        </w:trPr>
        <w:tc>
          <w:tcPr>
            <w:tcW w:w="1943" w:type="pct"/>
          </w:tcPr>
          <w:p w:rsidR="002601F3" w:rsidRPr="00DB1074" w:rsidRDefault="002601F3" w:rsidP="00362F3F">
            <w:pPr>
              <w:spacing w:line="360" w:lineRule="auto"/>
              <w:jc w:val="both"/>
              <w:rPr>
                <w:b/>
                <w:caps/>
                <w:sz w:val="24"/>
                <w:szCs w:val="24"/>
              </w:rPr>
            </w:pPr>
          </w:p>
        </w:tc>
        <w:tc>
          <w:tcPr>
            <w:tcW w:w="3057" w:type="pct"/>
          </w:tcPr>
          <w:p w:rsidR="002601F3" w:rsidRPr="00DB1074" w:rsidRDefault="002601F3" w:rsidP="00362F3F">
            <w:pPr>
              <w:spacing w:line="360" w:lineRule="auto"/>
              <w:jc w:val="both"/>
              <w:rPr>
                <w:b/>
                <w:caps/>
                <w:sz w:val="24"/>
                <w:szCs w:val="24"/>
              </w:rPr>
            </w:pPr>
          </w:p>
        </w:tc>
      </w:tr>
      <w:tr w:rsidR="002601F3" w:rsidRPr="00DB1074" w:rsidTr="00362F3F">
        <w:trPr>
          <w:jc w:val="center"/>
        </w:trPr>
        <w:tc>
          <w:tcPr>
            <w:tcW w:w="1943" w:type="pct"/>
          </w:tcPr>
          <w:p w:rsidR="002601F3" w:rsidRPr="00DB1074" w:rsidRDefault="002601F3" w:rsidP="00362F3F">
            <w:pPr>
              <w:spacing w:line="360" w:lineRule="auto"/>
              <w:jc w:val="both"/>
              <w:rPr>
                <w:b/>
                <w:caps/>
                <w:sz w:val="24"/>
                <w:szCs w:val="24"/>
              </w:rPr>
            </w:pPr>
          </w:p>
        </w:tc>
        <w:tc>
          <w:tcPr>
            <w:tcW w:w="3057" w:type="pct"/>
          </w:tcPr>
          <w:p w:rsidR="002601F3" w:rsidRPr="00DB1074" w:rsidRDefault="002601F3" w:rsidP="00362F3F">
            <w:pPr>
              <w:spacing w:line="360" w:lineRule="auto"/>
              <w:jc w:val="both"/>
              <w:rPr>
                <w:b/>
                <w:sz w:val="24"/>
                <w:szCs w:val="24"/>
              </w:rPr>
            </w:pPr>
          </w:p>
        </w:tc>
      </w:tr>
    </w:tbl>
    <w:p w:rsidR="002601F3" w:rsidRPr="00DB1074" w:rsidRDefault="002601F3" w:rsidP="00362F3F">
      <w:pPr>
        <w:spacing w:line="360" w:lineRule="auto"/>
        <w:ind w:left="720"/>
        <w:jc w:val="both"/>
        <w:rPr>
          <w:rFonts w:ascii="Times New Roman" w:eastAsia="Arial" w:hAnsi="Times New Roman" w:cs="Times New Roman"/>
          <w:b/>
          <w:sz w:val="24"/>
          <w:szCs w:val="24"/>
        </w:rPr>
      </w:pPr>
    </w:p>
    <w:p w:rsidR="002601F3" w:rsidRPr="00DB1074" w:rsidRDefault="002601F3" w:rsidP="00362F3F">
      <w:pPr>
        <w:spacing w:line="360" w:lineRule="auto"/>
        <w:ind w:left="153" w:right="-613"/>
        <w:jc w:val="both"/>
        <w:rPr>
          <w:rFonts w:ascii="Times New Roman" w:eastAsia="Arial" w:hAnsi="Times New Roman" w:cs="Times New Roman"/>
          <w:b/>
          <w:sz w:val="24"/>
          <w:szCs w:val="24"/>
        </w:rPr>
      </w:pPr>
    </w:p>
    <w:p w:rsidR="00F93B3B" w:rsidRPr="00DB1074" w:rsidRDefault="00F93B3B" w:rsidP="008C0B2D">
      <w:pPr>
        <w:spacing w:line="360" w:lineRule="auto"/>
        <w:ind w:left="153" w:right="-613"/>
        <w:jc w:val="center"/>
        <w:rPr>
          <w:rFonts w:ascii="Times New Roman" w:eastAsia="Arial" w:hAnsi="Times New Roman" w:cs="Times New Roman"/>
          <w:b/>
          <w:sz w:val="24"/>
          <w:szCs w:val="24"/>
        </w:rPr>
      </w:pPr>
      <w:r w:rsidRPr="00DB1074">
        <w:rPr>
          <w:rFonts w:ascii="Times New Roman" w:eastAsia="Arial" w:hAnsi="Times New Roman" w:cs="Times New Roman"/>
          <w:b/>
          <w:sz w:val="24"/>
          <w:szCs w:val="24"/>
        </w:rPr>
        <w:t>Set – 1</w:t>
      </w:r>
    </w:p>
    <w:p w:rsidR="00F93B3B" w:rsidRDefault="00F93B3B" w:rsidP="00362F3F">
      <w:pPr>
        <w:spacing w:line="360" w:lineRule="auto"/>
        <w:ind w:left="153" w:right="-613"/>
        <w:jc w:val="both"/>
        <w:rPr>
          <w:rFonts w:ascii="Times New Roman" w:eastAsia="Arial" w:hAnsi="Times New Roman" w:cs="Times New Roman"/>
          <w:b/>
          <w:sz w:val="24"/>
          <w:szCs w:val="24"/>
        </w:rPr>
      </w:pPr>
    </w:p>
    <w:p w:rsidR="00DB1074" w:rsidRPr="00DB1074" w:rsidRDefault="00DB1074" w:rsidP="00362F3F">
      <w:pPr>
        <w:spacing w:line="360" w:lineRule="auto"/>
        <w:ind w:left="153" w:right="-613"/>
        <w:jc w:val="both"/>
        <w:rPr>
          <w:rFonts w:ascii="Times New Roman" w:eastAsia="Arial" w:hAnsi="Times New Roman" w:cs="Times New Roman"/>
          <w:b/>
          <w:sz w:val="24"/>
          <w:szCs w:val="24"/>
        </w:rPr>
      </w:pPr>
    </w:p>
    <w:p w:rsidR="00F93B3B" w:rsidRPr="00DB1074" w:rsidRDefault="00F93B3B" w:rsidP="008C0B2D">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Q1. </w:t>
      </w:r>
    </w:p>
    <w:p w:rsidR="00F93B3B" w:rsidRPr="00DB1074" w:rsidRDefault="00DB1074" w:rsidP="00DB1074">
      <w:pPr>
        <w:pStyle w:val="TableParagraph"/>
        <w:tabs>
          <w:tab w:val="left" w:pos="336"/>
        </w:tabs>
        <w:spacing w:line="360" w:lineRule="auto"/>
        <w:ind w:left="0"/>
        <w:jc w:val="both"/>
        <w:rPr>
          <w:b/>
          <w:sz w:val="24"/>
          <w:szCs w:val="24"/>
        </w:rPr>
      </w:pPr>
      <w:r w:rsidRPr="00DB1074">
        <w:rPr>
          <w:b/>
          <w:sz w:val="24"/>
          <w:szCs w:val="24"/>
        </w:rPr>
        <w:t xml:space="preserve">I. </w:t>
      </w:r>
      <w:r w:rsidR="00F93B3B" w:rsidRPr="00DB1074">
        <w:rPr>
          <w:b/>
          <w:sz w:val="24"/>
          <w:szCs w:val="24"/>
        </w:rPr>
        <w:t xml:space="preserve">Elaborate on the definition of a </w:t>
      </w:r>
      <w:r w:rsidR="00F93B3B" w:rsidRPr="00DB1074">
        <w:rPr>
          <w:b/>
          <w:bCs/>
          <w:sz w:val="24"/>
          <w:szCs w:val="24"/>
        </w:rPr>
        <w:t>“Person”</w:t>
      </w:r>
      <w:r w:rsidR="00F93B3B" w:rsidRPr="00DB1074">
        <w:rPr>
          <w:b/>
          <w:sz w:val="24"/>
          <w:szCs w:val="24"/>
        </w:rPr>
        <w:t xml:space="preserve"> under the Income Tax Act, 1961.</w:t>
      </w:r>
    </w:p>
    <w:p w:rsidR="00DB1074" w:rsidRPr="00DB1074" w:rsidRDefault="00DB1074" w:rsidP="00DB1074">
      <w:pPr>
        <w:pStyle w:val="TableParagraph"/>
        <w:tabs>
          <w:tab w:val="left" w:pos="336"/>
        </w:tabs>
        <w:spacing w:line="360" w:lineRule="auto"/>
        <w:ind w:left="0"/>
        <w:jc w:val="both"/>
        <w:rPr>
          <w:b/>
          <w:sz w:val="24"/>
          <w:szCs w:val="24"/>
        </w:rPr>
      </w:pPr>
      <w:r w:rsidRPr="00DB1074">
        <w:rPr>
          <w:b/>
          <w:sz w:val="24"/>
          <w:szCs w:val="24"/>
        </w:rPr>
        <w:t xml:space="preserve">II. </w:t>
      </w:r>
      <w:r w:rsidR="00F93B3B" w:rsidRPr="00DB1074">
        <w:rPr>
          <w:b/>
          <w:sz w:val="24"/>
          <w:szCs w:val="24"/>
        </w:rPr>
        <w:t>Write down any five differences between direct taxes and indirect taxes.</w:t>
      </w:r>
    </w:p>
    <w:p w:rsidR="00F93B3B" w:rsidRPr="00DB1074" w:rsidRDefault="00DB1074" w:rsidP="00DB1074">
      <w:pPr>
        <w:spacing w:line="360" w:lineRule="auto"/>
        <w:ind w:right="-613"/>
        <w:jc w:val="both"/>
        <w:rPr>
          <w:rFonts w:ascii="Times New Roman" w:eastAsia="Arial" w:hAnsi="Times New Roman" w:cs="Times New Roman"/>
          <w:b/>
          <w:sz w:val="24"/>
          <w:szCs w:val="24"/>
        </w:rPr>
      </w:pPr>
      <w:proofErr w:type="gramStart"/>
      <w:r w:rsidRPr="00DB1074">
        <w:rPr>
          <w:rFonts w:ascii="Times New Roman" w:eastAsia="Arial" w:hAnsi="Times New Roman" w:cs="Times New Roman"/>
          <w:b/>
          <w:sz w:val="24"/>
          <w:szCs w:val="24"/>
        </w:rPr>
        <w:t>Ans 1.</w:t>
      </w:r>
      <w:proofErr w:type="gramEnd"/>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I. Definition of a “Person” under the Income Tax Act, 1961</w:t>
      </w:r>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Meaning and Legal Interpretation</w:t>
      </w:r>
    </w:p>
    <w:p w:rsidR="008C0B2D" w:rsidRPr="008C0B2D" w:rsidRDefault="008C0B2D" w:rsidP="00DB1074">
      <w:pPr>
        <w:spacing w:line="360" w:lineRule="auto"/>
        <w:ind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The term “Person” under the Income Tax Act, 1961, is defined in Section 2(31) and is broader than its general usage. In legal terms, a person refers to not just an individual but includes a wide range of entities that are capable of earning income and being taxed. The inclusion of various categories ensures that the tax system is comprehensive and brings all income-generating units under its purview.</w:t>
      </w:r>
    </w:p>
    <w:p w:rsidR="008C0B2D" w:rsidRPr="008C0B2D" w:rsidRDefault="008C0B2D" w:rsidP="00DB1074">
      <w:pPr>
        <w:spacing w:line="360" w:lineRule="auto"/>
        <w:ind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Categories Included under “Person”</w:t>
      </w:r>
    </w:p>
    <w:p w:rsidR="008C0B2D" w:rsidRDefault="008C0B2D" w:rsidP="00D075AE">
      <w:pPr>
        <w:spacing w:line="360" w:lineRule="auto"/>
        <w:ind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 xml:space="preserve">According to the Act, “Person” includes the following seven categories: (1) an individual, (2) a </w:t>
      </w:r>
    </w:p>
    <w:p w:rsidR="00D075AE" w:rsidRDefault="00D075AE" w:rsidP="00D075AE">
      <w:pPr>
        <w:spacing w:line="360" w:lineRule="auto"/>
        <w:ind w:right="-613"/>
        <w:jc w:val="both"/>
        <w:rPr>
          <w:rFonts w:ascii="Times New Roman" w:eastAsia="Arial" w:hAnsi="Times New Roman" w:cs="Times New Roman"/>
          <w:sz w:val="24"/>
          <w:szCs w:val="24"/>
          <w:lang w:val="en-US"/>
        </w:rPr>
      </w:pPr>
    </w:p>
    <w:p w:rsidR="00D075AE" w:rsidRPr="00D075AE" w:rsidRDefault="00D075AE" w:rsidP="00D075AE">
      <w:pPr>
        <w:shd w:val="clear" w:color="auto" w:fill="FFFFFF"/>
        <w:spacing w:after="0" w:line="240" w:lineRule="auto"/>
        <w:jc w:val="center"/>
        <w:rPr>
          <w:rFonts w:ascii="Arial" w:hAnsi="Arial" w:cs="Times New Roman"/>
          <w:color w:val="222222"/>
          <w:sz w:val="20"/>
          <w:szCs w:val="20"/>
          <w:lang w:eastAsia="en-US"/>
        </w:rPr>
      </w:pPr>
      <w:proofErr w:type="gramStart"/>
      <w:r w:rsidRPr="00D075AE">
        <w:rPr>
          <w:rFonts w:ascii="Georgia" w:hAnsi="Georgia" w:cs="Times New Roman"/>
          <w:color w:val="000000"/>
          <w:sz w:val="33"/>
          <w:szCs w:val="33"/>
          <w:highlight w:val="cyan"/>
          <w:shd w:val="clear" w:color="auto" w:fill="FF0000"/>
          <w:lang w:eastAsia="en-US"/>
        </w:rPr>
        <w:t>Its</w:t>
      </w:r>
      <w:proofErr w:type="gramEnd"/>
      <w:r w:rsidRPr="00D075AE">
        <w:rPr>
          <w:rFonts w:ascii="Georgia" w:hAnsi="Georgia" w:cs="Times New Roman"/>
          <w:color w:val="000000"/>
          <w:sz w:val="33"/>
          <w:szCs w:val="33"/>
          <w:highlight w:val="cyan"/>
          <w:shd w:val="clear" w:color="auto" w:fill="FF0000"/>
          <w:lang w:eastAsia="en-US"/>
        </w:rPr>
        <w:t xml:space="preserve"> Half solved only</w:t>
      </w:r>
    </w:p>
    <w:p w:rsidR="00D075AE" w:rsidRPr="00D075AE" w:rsidRDefault="00D075AE" w:rsidP="00D075AE">
      <w:pPr>
        <w:shd w:val="clear" w:color="auto" w:fill="FFFFFF"/>
        <w:spacing w:before="240" w:after="240" w:line="240" w:lineRule="auto"/>
        <w:jc w:val="center"/>
        <w:rPr>
          <w:rFonts w:ascii="Georgia" w:hAnsi="Georgia" w:cs="Times New Roman"/>
          <w:sz w:val="40"/>
          <w:szCs w:val="33"/>
          <w:shd w:val="clear" w:color="auto" w:fill="FFFF00"/>
          <w:lang w:eastAsia="en-US"/>
        </w:rPr>
      </w:pPr>
      <w:r w:rsidRPr="00D075AE">
        <w:rPr>
          <w:rFonts w:ascii="Georgia" w:hAnsi="Georgia" w:cs="Times New Roman"/>
          <w:sz w:val="40"/>
          <w:szCs w:val="33"/>
          <w:shd w:val="clear" w:color="auto" w:fill="FFFF00"/>
          <w:lang w:eastAsia="en-US"/>
        </w:rPr>
        <w:t xml:space="preserve">Buy </w:t>
      </w:r>
      <w:proofErr w:type="gramStart"/>
      <w:r w:rsidRPr="00D075AE">
        <w:rPr>
          <w:rFonts w:ascii="Georgia" w:hAnsi="Georgia" w:cs="Times New Roman"/>
          <w:sz w:val="40"/>
          <w:szCs w:val="33"/>
          <w:shd w:val="clear" w:color="auto" w:fill="FFFF00"/>
          <w:lang w:eastAsia="en-US"/>
        </w:rPr>
        <w:t>Complete</w:t>
      </w:r>
      <w:proofErr w:type="gramEnd"/>
      <w:r w:rsidRPr="00D075AE">
        <w:rPr>
          <w:rFonts w:ascii="Georgia" w:hAnsi="Georgia" w:cs="Times New Roman"/>
          <w:sz w:val="40"/>
          <w:szCs w:val="33"/>
          <w:shd w:val="clear" w:color="auto" w:fill="FFFF00"/>
          <w:lang w:eastAsia="en-US"/>
        </w:rPr>
        <w:t xml:space="preserve"> assignment from us</w:t>
      </w:r>
    </w:p>
    <w:p w:rsidR="00D075AE" w:rsidRPr="00D075AE" w:rsidRDefault="00D075AE" w:rsidP="00D075A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075AE">
        <w:rPr>
          <w:rFonts w:ascii="Georgia" w:hAnsi="Georgia" w:cs="Times New Roman"/>
          <w:b/>
          <w:color w:val="222222"/>
          <w:sz w:val="33"/>
          <w:szCs w:val="33"/>
          <w:shd w:val="clear" w:color="auto" w:fill="FFFF00"/>
          <w:lang w:eastAsia="en-US"/>
        </w:rPr>
        <w:lastRenderedPageBreak/>
        <w:t>Price – 190</w:t>
      </w:r>
      <w:proofErr w:type="gramStart"/>
      <w:r w:rsidRPr="00D075AE">
        <w:rPr>
          <w:rFonts w:ascii="Georgia" w:hAnsi="Georgia" w:cs="Times New Roman"/>
          <w:b/>
          <w:color w:val="222222"/>
          <w:sz w:val="33"/>
          <w:szCs w:val="33"/>
          <w:shd w:val="clear" w:color="auto" w:fill="FFFF00"/>
          <w:lang w:eastAsia="en-US"/>
        </w:rPr>
        <w:t>/  assignment</w:t>
      </w:r>
      <w:proofErr w:type="gramEnd"/>
    </w:p>
    <w:p w:rsidR="00D075AE" w:rsidRPr="00D075AE" w:rsidRDefault="00D075AE" w:rsidP="00D075AE">
      <w:pPr>
        <w:spacing w:before="240" w:after="240" w:line="240" w:lineRule="auto"/>
        <w:jc w:val="center"/>
        <w:rPr>
          <w:rFonts w:ascii="Georgia" w:hAnsi="Georgia" w:cs="Times New Roman"/>
          <w:b/>
          <w:color w:val="FF0000"/>
          <w:sz w:val="36"/>
          <w:szCs w:val="36"/>
          <w:lang w:eastAsia="en-US"/>
        </w:rPr>
      </w:pPr>
      <w:r w:rsidRPr="00D075AE">
        <w:rPr>
          <w:rFonts w:ascii="Georgia" w:hAnsi="Georgia" w:cs="Times New Roman"/>
          <w:b/>
          <w:sz w:val="40"/>
          <w:szCs w:val="40"/>
          <w:lang w:eastAsia="en-US"/>
        </w:rPr>
        <w:t xml:space="preserve">MUJ </w:t>
      </w:r>
      <w:r w:rsidRPr="00D075AE">
        <w:rPr>
          <w:rFonts w:ascii="Georgia" w:hAnsi="Georgia" w:cs="Times New Roman"/>
          <w:b/>
          <w:sz w:val="40"/>
          <w:szCs w:val="40"/>
          <w:highlight w:val="yellow"/>
          <w:lang w:eastAsia="en-US"/>
        </w:rPr>
        <w:t>Manipal University</w:t>
      </w:r>
      <w:r w:rsidRPr="00D075AE">
        <w:rPr>
          <w:rFonts w:ascii="Georgia" w:hAnsi="Georgia" w:cs="Times New Roman"/>
          <w:b/>
          <w:color w:val="222222"/>
          <w:sz w:val="33"/>
          <w:szCs w:val="33"/>
          <w:highlight w:val="yellow"/>
          <w:shd w:val="clear" w:color="auto" w:fill="FFFF00"/>
          <w:lang w:eastAsia="en-US"/>
        </w:rPr>
        <w:t xml:space="preserve"> </w:t>
      </w:r>
      <w:r w:rsidRPr="00D075AE">
        <w:rPr>
          <w:rFonts w:ascii="Georgia" w:hAnsi="Georgia" w:cs="Times New Roman"/>
          <w:b/>
          <w:sz w:val="36"/>
          <w:szCs w:val="36"/>
          <w:lang w:eastAsia="en-US"/>
        </w:rPr>
        <w:t xml:space="preserve">Complete </w:t>
      </w:r>
      <w:proofErr w:type="gramStart"/>
      <w:r w:rsidRPr="00D075AE">
        <w:rPr>
          <w:rFonts w:ascii="Georgia" w:hAnsi="Georgia" w:cs="Times New Roman"/>
          <w:b/>
          <w:sz w:val="36"/>
          <w:szCs w:val="36"/>
          <w:lang w:eastAsia="en-US"/>
        </w:rPr>
        <w:t>SolvedAssignments</w:t>
      </w:r>
      <w:r w:rsidRPr="00D075AE">
        <w:rPr>
          <w:rFonts w:ascii="Georgia" w:hAnsi="Georgia" w:cs="Times New Roman"/>
          <w:b/>
          <w:bCs/>
          <w:color w:val="FFFFFF"/>
          <w:sz w:val="36"/>
          <w:szCs w:val="36"/>
          <w:highlight w:val="red"/>
          <w:shd w:val="clear" w:color="auto" w:fill="FFFF00"/>
          <w:lang w:eastAsia="en-US"/>
        </w:rPr>
        <w:t xml:space="preserve">  MARCH</w:t>
      </w:r>
      <w:proofErr w:type="gramEnd"/>
      <w:r w:rsidRPr="00D075AE">
        <w:rPr>
          <w:rFonts w:ascii="Georgia" w:hAnsi="Georgia" w:cs="Times New Roman"/>
          <w:b/>
          <w:bCs/>
          <w:color w:val="FFFFFF"/>
          <w:sz w:val="36"/>
          <w:szCs w:val="36"/>
          <w:highlight w:val="red"/>
          <w:shd w:val="clear" w:color="auto" w:fill="FFFF00"/>
          <w:lang w:eastAsia="en-US"/>
        </w:rPr>
        <w:t xml:space="preserve"> 2025</w:t>
      </w:r>
    </w:p>
    <w:p w:rsidR="00D075AE" w:rsidRPr="00D075AE" w:rsidRDefault="00D075AE" w:rsidP="00D075AE">
      <w:pPr>
        <w:spacing w:before="240" w:after="240" w:line="240" w:lineRule="auto"/>
        <w:jc w:val="center"/>
        <w:rPr>
          <w:rFonts w:ascii="Georgia" w:hAnsi="Georgia" w:cs="Times New Roman"/>
          <w:sz w:val="32"/>
          <w:szCs w:val="32"/>
          <w:lang w:eastAsia="en-US"/>
        </w:rPr>
      </w:pPr>
      <w:proofErr w:type="gramStart"/>
      <w:r w:rsidRPr="00D075AE">
        <w:rPr>
          <w:rFonts w:ascii="Georgia" w:hAnsi="Georgia" w:cs="Times New Roman"/>
          <w:sz w:val="32"/>
          <w:szCs w:val="32"/>
          <w:lang w:eastAsia="en-US"/>
        </w:rPr>
        <w:t>buy</w:t>
      </w:r>
      <w:proofErr w:type="gramEnd"/>
      <w:r w:rsidRPr="00D075AE">
        <w:rPr>
          <w:rFonts w:ascii="Georgia" w:hAnsi="Georgia" w:cs="Times New Roman"/>
          <w:sz w:val="32"/>
          <w:szCs w:val="32"/>
          <w:lang w:eastAsia="en-US"/>
        </w:rPr>
        <w:t xml:space="preserve"> cheap assignment help online from us easily</w:t>
      </w:r>
    </w:p>
    <w:p w:rsidR="00D075AE" w:rsidRPr="00D075AE" w:rsidRDefault="00D075AE" w:rsidP="00D075AE">
      <w:pPr>
        <w:spacing w:before="240" w:after="240" w:line="240" w:lineRule="auto"/>
        <w:jc w:val="center"/>
        <w:rPr>
          <w:rFonts w:ascii="Georgia" w:hAnsi="Georgia" w:cs="Times New Roman"/>
          <w:sz w:val="32"/>
          <w:szCs w:val="32"/>
          <w:lang w:val="en-GB" w:eastAsia="en-US"/>
        </w:rPr>
      </w:pPr>
      <w:proofErr w:type="gramStart"/>
      <w:r w:rsidRPr="00D075AE">
        <w:rPr>
          <w:rFonts w:ascii="Georgia" w:hAnsi="Georgia" w:cs="Times New Roman"/>
          <w:sz w:val="32"/>
          <w:szCs w:val="32"/>
          <w:lang w:eastAsia="en-US"/>
        </w:rPr>
        <w:t>we</w:t>
      </w:r>
      <w:proofErr w:type="gramEnd"/>
      <w:r w:rsidRPr="00D075AE">
        <w:rPr>
          <w:rFonts w:ascii="Georgia" w:hAnsi="Georgia" w:cs="Times New Roman"/>
          <w:sz w:val="32"/>
          <w:szCs w:val="32"/>
          <w:lang w:eastAsia="en-US"/>
        </w:rPr>
        <w:t xml:space="preserve"> are here to help you with the best and cheap help </w:t>
      </w:r>
    </w:p>
    <w:p w:rsidR="00D075AE" w:rsidRPr="00D075AE" w:rsidRDefault="00D075AE" w:rsidP="00D075AE">
      <w:pPr>
        <w:spacing w:before="240" w:after="240" w:line="240" w:lineRule="auto"/>
        <w:jc w:val="center"/>
        <w:rPr>
          <w:rFonts w:ascii="Georgia" w:hAnsi="Georgia" w:cs="Times New Roman"/>
          <w:b/>
          <w:sz w:val="44"/>
          <w:szCs w:val="44"/>
          <w:lang w:eastAsia="en-US"/>
        </w:rPr>
      </w:pPr>
      <w:r w:rsidRPr="00D075AE">
        <w:rPr>
          <w:rFonts w:ascii="Georgia" w:hAnsi="Georgia" w:cs="Times New Roman"/>
          <w:b/>
          <w:sz w:val="36"/>
          <w:szCs w:val="36"/>
          <w:lang w:eastAsia="en-US"/>
        </w:rPr>
        <w:t>Contact No –</w:t>
      </w:r>
      <w:r w:rsidRPr="00D075AE">
        <w:rPr>
          <w:rFonts w:ascii="Georgia" w:hAnsi="Georgia" w:cs="Times New Roman"/>
          <w:b/>
          <w:sz w:val="44"/>
          <w:szCs w:val="44"/>
          <w:lang w:eastAsia="en-US"/>
        </w:rPr>
        <w:t xml:space="preserve"> </w:t>
      </w:r>
      <w:r w:rsidRPr="00D075AE">
        <w:rPr>
          <w:rFonts w:ascii="Georgia" w:hAnsi="Georgia" w:cs="Times New Roman"/>
          <w:b/>
          <w:sz w:val="40"/>
          <w:szCs w:val="40"/>
          <w:highlight w:val="yellow"/>
          <w:lang w:eastAsia="en-US"/>
        </w:rPr>
        <w:t>8791514139</w:t>
      </w:r>
      <w:r w:rsidRPr="00D075AE">
        <w:rPr>
          <w:rFonts w:ascii="Georgia" w:hAnsi="Georgia" w:cs="Times New Roman"/>
          <w:b/>
          <w:sz w:val="40"/>
          <w:szCs w:val="40"/>
          <w:lang w:eastAsia="en-US"/>
        </w:rPr>
        <w:t xml:space="preserve"> (WhatsApp)</w:t>
      </w:r>
    </w:p>
    <w:p w:rsidR="00D075AE" w:rsidRPr="00D075AE" w:rsidRDefault="00D075AE" w:rsidP="00D075AE">
      <w:pPr>
        <w:spacing w:before="240" w:after="240" w:line="240" w:lineRule="auto"/>
        <w:jc w:val="center"/>
        <w:rPr>
          <w:rFonts w:ascii="Georgia" w:hAnsi="Georgia" w:cs="Times New Roman"/>
          <w:b/>
          <w:sz w:val="32"/>
          <w:szCs w:val="32"/>
          <w:lang w:eastAsia="en-US"/>
        </w:rPr>
      </w:pPr>
      <w:r w:rsidRPr="00D075AE">
        <w:rPr>
          <w:rFonts w:ascii="Georgia" w:hAnsi="Georgia" w:cs="Times New Roman"/>
          <w:b/>
          <w:sz w:val="32"/>
          <w:szCs w:val="32"/>
          <w:lang w:eastAsia="en-US"/>
        </w:rPr>
        <w:t>OR</w:t>
      </w:r>
    </w:p>
    <w:p w:rsidR="00D075AE" w:rsidRPr="00D075AE" w:rsidRDefault="00D075AE" w:rsidP="00D075AE">
      <w:pPr>
        <w:spacing w:before="240" w:after="240" w:line="240" w:lineRule="auto"/>
        <w:jc w:val="center"/>
        <w:rPr>
          <w:rFonts w:ascii="Georgia" w:hAnsi="Georgia" w:cs="Times New Roman"/>
          <w:b/>
          <w:sz w:val="32"/>
          <w:szCs w:val="32"/>
          <w:lang w:eastAsia="en-US"/>
        </w:rPr>
      </w:pPr>
      <w:r w:rsidRPr="00D075AE">
        <w:rPr>
          <w:rFonts w:ascii="Georgia" w:hAnsi="Georgia" w:cs="Times New Roman"/>
          <w:b/>
          <w:sz w:val="32"/>
          <w:szCs w:val="32"/>
          <w:lang w:eastAsia="en-US"/>
        </w:rPr>
        <w:t>Mail us</w:t>
      </w:r>
      <w:proofErr w:type="gramStart"/>
      <w:r w:rsidRPr="00D075AE">
        <w:rPr>
          <w:rFonts w:ascii="Georgia" w:hAnsi="Georgia" w:cs="Times New Roman"/>
          <w:b/>
          <w:sz w:val="32"/>
          <w:szCs w:val="32"/>
          <w:lang w:eastAsia="en-US"/>
        </w:rPr>
        <w:t xml:space="preserve">-  </w:t>
      </w:r>
      <w:proofErr w:type="gramEnd"/>
      <w:r w:rsidRPr="00D075AE">
        <w:rPr>
          <w:rFonts w:cs="Times New Roman"/>
          <w:lang w:eastAsia="en-US"/>
        </w:rPr>
        <w:fldChar w:fldCharType="begin"/>
      </w:r>
      <w:r w:rsidRPr="00D075AE">
        <w:rPr>
          <w:rFonts w:cs="Times New Roman"/>
          <w:lang w:eastAsia="en-US"/>
        </w:rPr>
        <w:instrText>HYPERLINK "mailto:bestassignment247@gmail.com"</w:instrText>
      </w:r>
      <w:r w:rsidRPr="00D075AE">
        <w:rPr>
          <w:rFonts w:cs="Times New Roman"/>
          <w:lang w:eastAsia="en-US"/>
        </w:rPr>
        <w:fldChar w:fldCharType="separate"/>
      </w:r>
      <w:r w:rsidRPr="00D075AE">
        <w:rPr>
          <w:rFonts w:ascii="Georgia" w:hAnsi="Georgia" w:cs="Times New Roman"/>
          <w:color w:val="0000FF"/>
          <w:sz w:val="32"/>
          <w:u w:val="single"/>
          <w:lang w:eastAsia="en-US"/>
        </w:rPr>
        <w:t>bestassignment247@gmail.com</w:t>
      </w:r>
      <w:r w:rsidRPr="00D075AE">
        <w:rPr>
          <w:rFonts w:cs="Times New Roman"/>
          <w:lang w:eastAsia="en-US"/>
        </w:rPr>
        <w:fldChar w:fldCharType="end"/>
      </w:r>
    </w:p>
    <w:p w:rsidR="00D075AE" w:rsidRPr="00D075AE" w:rsidRDefault="00D075AE" w:rsidP="00D075AE">
      <w:pPr>
        <w:spacing w:before="240" w:after="240" w:line="240" w:lineRule="auto"/>
        <w:jc w:val="center"/>
        <w:rPr>
          <w:rFonts w:ascii="Georgia" w:hAnsi="Georgia" w:cs="Times New Roman"/>
          <w:b/>
          <w:color w:val="7030A0"/>
          <w:sz w:val="32"/>
          <w:szCs w:val="32"/>
          <w:lang w:eastAsia="en-US"/>
        </w:rPr>
      </w:pPr>
      <w:r w:rsidRPr="00D075AE">
        <w:rPr>
          <w:rFonts w:ascii="Georgia" w:hAnsi="Georgia" w:cs="Times New Roman"/>
          <w:b/>
          <w:sz w:val="32"/>
          <w:szCs w:val="32"/>
          <w:lang w:eastAsia="en-US"/>
        </w:rPr>
        <w:t xml:space="preserve">Our website - </w:t>
      </w:r>
      <w:hyperlink r:id="rId8" w:history="1">
        <w:r w:rsidRPr="00D075AE">
          <w:rPr>
            <w:rFonts w:ascii="Georgia" w:hAnsi="Georgia" w:cs="Times New Roman"/>
            <w:color w:val="0000FF"/>
            <w:sz w:val="32"/>
            <w:u w:val="single"/>
            <w:lang w:eastAsia="en-US"/>
          </w:rPr>
          <w:t>www.assignmentsupport.in</w:t>
        </w:r>
      </w:hyperlink>
    </w:p>
    <w:p w:rsidR="00D075AE" w:rsidRPr="008C0B2D" w:rsidRDefault="00D075AE" w:rsidP="00D075AE">
      <w:pPr>
        <w:spacing w:line="360" w:lineRule="auto"/>
        <w:ind w:right="-613"/>
        <w:jc w:val="both"/>
        <w:rPr>
          <w:rFonts w:ascii="Times New Roman" w:eastAsia="Arial" w:hAnsi="Times New Roman" w:cs="Times New Roman"/>
          <w:sz w:val="24"/>
          <w:szCs w:val="24"/>
          <w:lang w:val="en-US"/>
        </w:rPr>
      </w:pPr>
    </w:p>
    <w:p w:rsidR="008C0B2D" w:rsidRPr="00362F3F" w:rsidRDefault="008C0B2D" w:rsidP="00DB1074">
      <w:pPr>
        <w:spacing w:line="360" w:lineRule="auto"/>
        <w:ind w:right="-613"/>
        <w:jc w:val="both"/>
        <w:rPr>
          <w:rFonts w:ascii="Times New Roman" w:eastAsia="Arial" w:hAnsi="Times New Roman" w:cs="Times New Roman"/>
          <w:sz w:val="24"/>
          <w:szCs w:val="24"/>
        </w:rPr>
      </w:pP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Q2. Mr. Vivek Mohan has the following income during the financial year 2023-24:</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1. Income from business in Kolkata managed from the U.S.A. Rs. 25,000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2. Income from pension for services rendered in India received in London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    (Computed)</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3. Income from assets in Myanmar was received in India at Rs. 10,000.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4. Profit from business in Sri Lanka deposited in a bank there,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 xml:space="preserve">5. Income from the profession in Kenya was received </w:t>
      </w:r>
      <w:proofErr w:type="gramStart"/>
      <w:r w:rsidRPr="00DB1074">
        <w:rPr>
          <w:rFonts w:ascii="Times New Roman" w:eastAsia="Arial" w:hAnsi="Times New Roman" w:cs="Times New Roman"/>
          <w:b/>
          <w:sz w:val="24"/>
          <w:szCs w:val="24"/>
        </w:rPr>
        <w:t>there,</w:t>
      </w:r>
      <w:proofErr w:type="gramEnd"/>
      <w:r w:rsidRPr="00DB1074">
        <w:rPr>
          <w:rFonts w:ascii="Times New Roman" w:eastAsia="Arial" w:hAnsi="Times New Roman" w:cs="Times New Roman"/>
          <w:b/>
          <w:sz w:val="24"/>
          <w:szCs w:val="24"/>
        </w:rPr>
        <w:t xml:space="preserve"> and it was set up in India for Rs. 15,000.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6. Profit on sale of machinery in India received in Nepal Rs. 10,000.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7. Interest on the U.K. government securities, half of which was received in India, Rs. 5,000.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8. Untaxed income of the previous year brought in India during the previous year was Rs. 40,000.</w:t>
      </w:r>
    </w:p>
    <w:p w:rsidR="00F93B3B" w:rsidRPr="00DB1074" w:rsidRDefault="00F93B3B" w:rsidP="00DB1074">
      <w:pPr>
        <w:spacing w:line="360" w:lineRule="auto"/>
        <w:ind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Calculate the Gross Total Income of Mr. Vivek Mohan for the assessment year 2024-25, if he is (i) Ordinarily resident (ii) Not-ordinarily resident (iii) Non-resident.</w:t>
      </w:r>
    </w:p>
    <w:p w:rsidR="008C0B2D" w:rsidRPr="008C0B2D" w:rsidRDefault="00DB1074" w:rsidP="00DB1074">
      <w:pPr>
        <w:spacing w:after="200" w:line="360" w:lineRule="auto"/>
        <w:jc w:val="both"/>
        <w:rPr>
          <w:rFonts w:ascii="Times New Roman" w:eastAsia="Aptos" w:hAnsi="Times New Roman" w:cs="Times New Roman"/>
          <w:b/>
          <w:sz w:val="24"/>
          <w:szCs w:val="24"/>
          <w:lang w:val="en-US" w:eastAsia="en-US"/>
        </w:rPr>
      </w:pPr>
      <w:proofErr w:type="gramStart"/>
      <w:r w:rsidRPr="00DB1074">
        <w:rPr>
          <w:rFonts w:ascii="Times New Roman" w:eastAsia="Arial" w:hAnsi="Times New Roman" w:cs="Times New Roman"/>
          <w:b/>
          <w:sz w:val="24"/>
          <w:szCs w:val="24"/>
        </w:rPr>
        <w:lastRenderedPageBreak/>
        <w:t>Ans 2.</w:t>
      </w:r>
      <w:proofErr w:type="gramEnd"/>
    </w:p>
    <w:p w:rsidR="008C0B2D" w:rsidRPr="008C0B2D" w:rsidRDefault="008C0B2D" w:rsidP="00DB1074">
      <w:pPr>
        <w:keepNext/>
        <w:keepLines/>
        <w:spacing w:before="80" w:after="40" w:line="360" w:lineRule="auto"/>
        <w:jc w:val="both"/>
        <w:outlineLvl w:val="3"/>
        <w:rPr>
          <w:rFonts w:ascii="Times New Roman" w:eastAsia="Times New Roman" w:hAnsi="Times New Roman" w:cs="Times New Roman"/>
          <w:iCs/>
          <w:sz w:val="24"/>
          <w:szCs w:val="24"/>
          <w:lang w:val="en-US" w:eastAsia="en-US"/>
        </w:rPr>
      </w:pPr>
      <w:bookmarkStart w:id="0" w:name="X76c0169e4d5b90449cbc999ff7ab7dfc15c0a01"/>
      <w:bookmarkStart w:id="1" w:name="basic-tax-rule-for-residential-status"/>
      <w:r w:rsidRPr="008C0B2D">
        <w:rPr>
          <w:rFonts w:ascii="Times New Roman" w:eastAsia="Times New Roman" w:hAnsi="Times New Roman" w:cs="Times New Roman"/>
          <w:b/>
          <w:bCs/>
          <w:iCs/>
          <w:sz w:val="24"/>
          <w:szCs w:val="24"/>
          <w:lang w:val="en-US" w:eastAsia="en-US"/>
        </w:rPr>
        <w:t>Basic Tax Rule for Residential Status:</w:t>
      </w:r>
    </w:p>
    <w:p w:rsidR="008C0B2D" w:rsidRPr="008C0B2D" w:rsidRDefault="008C0B2D" w:rsidP="00DB1074">
      <w:pPr>
        <w:numPr>
          <w:ilvl w:val="0"/>
          <w:numId w:val="4"/>
        </w:numPr>
        <w:spacing w:before="36" w:after="36" w:line="360" w:lineRule="auto"/>
        <w:ind w:left="567"/>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Ordinarily Resident (ROR):</w:t>
      </w:r>
      <w:r w:rsidRPr="008C0B2D">
        <w:rPr>
          <w:rFonts w:ascii="Times New Roman" w:eastAsia="Aptos" w:hAnsi="Times New Roman" w:cs="Times New Roman"/>
          <w:sz w:val="24"/>
          <w:szCs w:val="24"/>
          <w:lang w:val="en-US" w:eastAsia="en-US"/>
        </w:rPr>
        <w:t xml:space="preserve"> Taxable on global income (i.e., income earned and received anywhere).</w:t>
      </w:r>
    </w:p>
    <w:p w:rsidR="008C0B2D" w:rsidRPr="008C0B2D" w:rsidRDefault="008C0B2D" w:rsidP="00DB1074">
      <w:pPr>
        <w:numPr>
          <w:ilvl w:val="0"/>
          <w:numId w:val="4"/>
        </w:numPr>
        <w:spacing w:before="36" w:after="36" w:line="360" w:lineRule="auto"/>
        <w:ind w:left="567"/>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Not-Ordinarily Resident (RNOR):</w:t>
      </w:r>
      <w:r w:rsidRPr="008C0B2D">
        <w:rPr>
          <w:rFonts w:ascii="Times New Roman" w:eastAsia="Aptos" w:hAnsi="Times New Roman" w:cs="Times New Roman"/>
          <w:sz w:val="24"/>
          <w:szCs w:val="24"/>
          <w:lang w:val="en-US" w:eastAsia="en-US"/>
        </w:rPr>
        <w:t xml:space="preserve"> Taxable on income received or accrued in India or business controlled from India.</w:t>
      </w:r>
    </w:p>
    <w:p w:rsidR="008C0B2D" w:rsidRPr="008C0B2D" w:rsidRDefault="008C0B2D" w:rsidP="00DB1074">
      <w:pPr>
        <w:numPr>
          <w:ilvl w:val="0"/>
          <w:numId w:val="4"/>
        </w:numPr>
        <w:spacing w:before="36" w:after="36" w:line="360" w:lineRule="auto"/>
        <w:ind w:left="567"/>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Non-Resident (NR):</w:t>
      </w:r>
      <w:r w:rsidRPr="008C0B2D">
        <w:rPr>
          <w:rFonts w:ascii="Times New Roman" w:eastAsia="Aptos" w:hAnsi="Times New Roman" w:cs="Times New Roman"/>
          <w:sz w:val="24"/>
          <w:szCs w:val="24"/>
          <w:lang w:val="en-US" w:eastAsia="en-US"/>
        </w:rPr>
        <w:t xml:space="preserve"> Taxable only on income received or accrued in India.</w:t>
      </w:r>
    </w:p>
    <w:bookmarkEnd w:id="0"/>
    <w:bookmarkEnd w:id="1"/>
    <w:p w:rsidR="008C0B2D" w:rsidRDefault="008C0B2D" w:rsidP="00DB1074">
      <w:pPr>
        <w:spacing w:line="360" w:lineRule="auto"/>
        <w:ind w:right="-613"/>
        <w:jc w:val="both"/>
        <w:rPr>
          <w:rFonts w:ascii="Times New Roman" w:eastAsia="Arial" w:hAnsi="Times New Roman" w:cs="Times New Roman"/>
          <w:sz w:val="24"/>
          <w:szCs w:val="24"/>
        </w:rPr>
      </w:pPr>
    </w:p>
    <w:p w:rsidR="00D075AE" w:rsidRPr="00362F3F" w:rsidRDefault="00D075AE" w:rsidP="00DB1074">
      <w:pPr>
        <w:spacing w:line="360" w:lineRule="auto"/>
        <w:ind w:right="-613"/>
        <w:jc w:val="both"/>
        <w:rPr>
          <w:rFonts w:ascii="Times New Roman" w:eastAsia="Arial" w:hAnsi="Times New Roman" w:cs="Times New Roman"/>
          <w:sz w:val="24"/>
          <w:szCs w:val="24"/>
        </w:rPr>
      </w:pP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Q3. Mr. A was an employee of X Ltd. At the time of leaving X Ltd. He was paid Rs. 350,000 as a leave salary, out of which Rs. 77,000 were exempted u/s 10 (10AA).</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After some time, he joined Y Ltd. He received Rs. 4</w:t>
      </w:r>
      <w:proofErr w:type="gramStart"/>
      <w:r w:rsidRPr="00DB1074">
        <w:rPr>
          <w:rFonts w:ascii="Times New Roman" w:eastAsia="Arial" w:hAnsi="Times New Roman" w:cs="Times New Roman"/>
          <w:b/>
          <w:sz w:val="24"/>
          <w:szCs w:val="24"/>
        </w:rPr>
        <w:t>,12,200</w:t>
      </w:r>
      <w:proofErr w:type="gramEnd"/>
      <w:r w:rsidRPr="00DB1074">
        <w:rPr>
          <w:rFonts w:ascii="Times New Roman" w:eastAsia="Arial" w:hAnsi="Times New Roman" w:cs="Times New Roman"/>
          <w:b/>
          <w:sz w:val="24"/>
          <w:szCs w:val="24"/>
        </w:rPr>
        <w:t xml:space="preserve"> as leave salary at the time of his retirement on 31.12.2024. Compute taxable leave salary by considering the below information:</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1. Salary from 1.3.2024 to 31.7.2024 Rs.22</w:t>
      </w:r>
      <w:proofErr w:type="gramStart"/>
      <w:r w:rsidRPr="00DB1074">
        <w:rPr>
          <w:rFonts w:ascii="Times New Roman" w:eastAsia="Arial" w:hAnsi="Times New Roman" w:cs="Times New Roman"/>
          <w:b/>
          <w:sz w:val="24"/>
          <w:szCs w:val="24"/>
        </w:rPr>
        <w:t>,600</w:t>
      </w:r>
      <w:proofErr w:type="gramEnd"/>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2. Salary from 1.8.2024 to 31.12.2024 Rs.22</w:t>
      </w:r>
      <w:proofErr w:type="gramStart"/>
      <w:r w:rsidRPr="00DB1074">
        <w:rPr>
          <w:rFonts w:ascii="Times New Roman" w:eastAsia="Arial" w:hAnsi="Times New Roman" w:cs="Times New Roman"/>
          <w:b/>
          <w:sz w:val="24"/>
          <w:szCs w:val="24"/>
        </w:rPr>
        <w:t>,900</w:t>
      </w:r>
      <w:proofErr w:type="gramEnd"/>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3. Duration of service 14 years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4. Leave entitlement per year is 45 days.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5. Leave availed during service is 90 days.</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6. Leave credit at retirement for 18 months.</w:t>
      </w:r>
    </w:p>
    <w:p w:rsidR="008C0B2D" w:rsidRPr="008C0B2D" w:rsidRDefault="00DB1074" w:rsidP="00DB1074">
      <w:pPr>
        <w:spacing w:after="200" w:line="360" w:lineRule="auto"/>
        <w:jc w:val="both"/>
        <w:rPr>
          <w:rFonts w:ascii="Times New Roman" w:eastAsia="Aptos" w:hAnsi="Times New Roman" w:cs="Times New Roman"/>
          <w:b/>
          <w:sz w:val="24"/>
          <w:szCs w:val="24"/>
          <w:lang w:val="en-US" w:eastAsia="en-US"/>
        </w:rPr>
      </w:pPr>
      <w:proofErr w:type="gramStart"/>
      <w:r w:rsidRPr="00DB1074">
        <w:rPr>
          <w:rFonts w:ascii="Times New Roman" w:eastAsia="Aptos" w:hAnsi="Times New Roman" w:cs="Times New Roman"/>
          <w:b/>
          <w:sz w:val="24"/>
          <w:szCs w:val="24"/>
          <w:lang w:val="en-US" w:eastAsia="en-US"/>
        </w:rPr>
        <w:t>Ans 3.</w:t>
      </w:r>
      <w:proofErr w:type="gramEnd"/>
    </w:p>
    <w:p w:rsidR="008C0B2D" w:rsidRPr="008C0B2D" w:rsidRDefault="008C0B2D" w:rsidP="00DB1074">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2" w:name="X295248080fda1d04d2a71d76e37cbd0ed0532e2"/>
      <w:r w:rsidRPr="008C0B2D">
        <w:rPr>
          <w:rFonts w:ascii="Times New Roman" w:eastAsia="Times New Roman" w:hAnsi="Times New Roman" w:cs="Times New Roman"/>
          <w:b/>
          <w:bCs/>
          <w:sz w:val="24"/>
          <w:szCs w:val="24"/>
          <w:lang w:val="en-US" w:eastAsia="en-US"/>
        </w:rPr>
        <w:t>Leave Salary Exemption under Section 10(10AA</w:t>
      </w:r>
      <w:proofErr w:type="gramStart"/>
      <w:r w:rsidRPr="008C0B2D">
        <w:rPr>
          <w:rFonts w:ascii="Times New Roman" w:eastAsia="Times New Roman" w:hAnsi="Times New Roman" w:cs="Times New Roman"/>
          <w:b/>
          <w:bCs/>
          <w:sz w:val="24"/>
          <w:szCs w:val="24"/>
          <w:lang w:val="en-US" w:eastAsia="en-US"/>
        </w:rPr>
        <w:t>)(</w:t>
      </w:r>
      <w:proofErr w:type="gramEnd"/>
      <w:r w:rsidRPr="008C0B2D">
        <w:rPr>
          <w:rFonts w:ascii="Times New Roman" w:eastAsia="Times New Roman" w:hAnsi="Times New Roman" w:cs="Times New Roman"/>
          <w:b/>
          <w:bCs/>
          <w:sz w:val="24"/>
          <w:szCs w:val="24"/>
          <w:lang w:val="en-US" w:eastAsia="en-US"/>
        </w:rPr>
        <w:t>ii)</w:t>
      </w:r>
    </w:p>
    <w:p w:rsidR="008C0B2D" w:rsidRPr="008C0B2D" w:rsidRDefault="008C0B2D" w:rsidP="00DB1074">
      <w:pPr>
        <w:spacing w:before="180" w:after="18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Since Mr. A is a </w:t>
      </w:r>
      <w:r w:rsidRPr="008C0B2D">
        <w:rPr>
          <w:rFonts w:ascii="Times New Roman" w:eastAsia="Aptos" w:hAnsi="Times New Roman" w:cs="Times New Roman"/>
          <w:bCs/>
          <w:sz w:val="24"/>
          <w:szCs w:val="24"/>
          <w:lang w:val="en-US" w:eastAsia="en-US"/>
        </w:rPr>
        <w:t>non-government employee</w:t>
      </w:r>
      <w:r w:rsidRPr="008C0B2D">
        <w:rPr>
          <w:rFonts w:ascii="Times New Roman" w:eastAsia="Aptos" w:hAnsi="Times New Roman" w:cs="Times New Roman"/>
          <w:sz w:val="24"/>
          <w:szCs w:val="24"/>
          <w:lang w:val="en-US" w:eastAsia="en-US"/>
        </w:rPr>
        <w:t xml:space="preserve">, the exemption under </w:t>
      </w:r>
      <w:r w:rsidRPr="008C0B2D">
        <w:rPr>
          <w:rFonts w:ascii="Times New Roman" w:eastAsia="Aptos" w:hAnsi="Times New Roman" w:cs="Times New Roman"/>
          <w:bCs/>
          <w:sz w:val="24"/>
          <w:szCs w:val="24"/>
          <w:lang w:val="en-US" w:eastAsia="en-US"/>
        </w:rPr>
        <w:t>Section 10(10AA</w:t>
      </w:r>
      <w:proofErr w:type="gramStart"/>
      <w:r w:rsidRPr="008C0B2D">
        <w:rPr>
          <w:rFonts w:ascii="Times New Roman" w:eastAsia="Aptos" w:hAnsi="Times New Roman" w:cs="Times New Roman"/>
          <w:bCs/>
          <w:sz w:val="24"/>
          <w:szCs w:val="24"/>
          <w:lang w:val="en-US" w:eastAsia="en-US"/>
        </w:rPr>
        <w:t>)(</w:t>
      </w:r>
      <w:proofErr w:type="gramEnd"/>
      <w:r w:rsidRPr="008C0B2D">
        <w:rPr>
          <w:rFonts w:ascii="Times New Roman" w:eastAsia="Aptos" w:hAnsi="Times New Roman" w:cs="Times New Roman"/>
          <w:bCs/>
          <w:sz w:val="24"/>
          <w:szCs w:val="24"/>
          <w:lang w:val="en-US" w:eastAsia="en-US"/>
        </w:rPr>
        <w:t>ii)</w:t>
      </w:r>
      <w:r w:rsidRPr="008C0B2D">
        <w:rPr>
          <w:rFonts w:ascii="Times New Roman" w:eastAsia="Aptos" w:hAnsi="Times New Roman" w:cs="Times New Roman"/>
          <w:sz w:val="24"/>
          <w:szCs w:val="24"/>
          <w:lang w:val="en-US" w:eastAsia="en-US"/>
        </w:rPr>
        <w:t xml:space="preserve"> is based on the </w:t>
      </w:r>
      <w:r w:rsidRPr="008C0B2D">
        <w:rPr>
          <w:rFonts w:ascii="Times New Roman" w:eastAsia="Aptos" w:hAnsi="Times New Roman" w:cs="Times New Roman"/>
          <w:bCs/>
          <w:sz w:val="24"/>
          <w:szCs w:val="24"/>
          <w:lang w:val="en-US" w:eastAsia="en-US"/>
        </w:rPr>
        <w:t>least</w:t>
      </w:r>
      <w:r w:rsidRPr="008C0B2D">
        <w:rPr>
          <w:rFonts w:ascii="Times New Roman" w:eastAsia="Aptos" w:hAnsi="Times New Roman" w:cs="Times New Roman"/>
          <w:sz w:val="24"/>
          <w:szCs w:val="24"/>
          <w:lang w:val="en-US" w:eastAsia="en-US"/>
        </w:rPr>
        <w:t xml:space="preserve"> of the following four amounts:</w:t>
      </w:r>
    </w:p>
    <w:p w:rsidR="008C0B2D" w:rsidRPr="008C0B2D" w:rsidRDefault="008C0B2D" w:rsidP="00DB1074">
      <w:pPr>
        <w:numPr>
          <w:ilvl w:val="0"/>
          <w:numId w:val="5"/>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Actual leave encashment received at retirement</w:t>
      </w:r>
      <w:r w:rsidRPr="008C0B2D">
        <w:rPr>
          <w:rFonts w:ascii="Times New Roman" w:eastAsia="Aptos" w:hAnsi="Times New Roman" w:cs="Times New Roman"/>
          <w:sz w:val="24"/>
          <w:szCs w:val="24"/>
          <w:lang w:val="en-US" w:eastAsia="en-US"/>
        </w:rPr>
        <w:t xml:space="preserve"> = ₹4,12,200</w:t>
      </w:r>
    </w:p>
    <w:p w:rsidR="008C0B2D" w:rsidRPr="008C0B2D" w:rsidRDefault="008C0B2D" w:rsidP="00DB1074">
      <w:pPr>
        <w:numPr>
          <w:ilvl w:val="0"/>
          <w:numId w:val="5"/>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Maximum limit of exemption under the Act</w:t>
      </w:r>
      <w:r w:rsidRPr="008C0B2D">
        <w:rPr>
          <w:rFonts w:ascii="Times New Roman" w:eastAsia="Aptos" w:hAnsi="Times New Roman" w:cs="Times New Roman"/>
          <w:sz w:val="24"/>
          <w:szCs w:val="24"/>
          <w:lang w:val="en-US" w:eastAsia="en-US"/>
        </w:rPr>
        <w:t xml:space="preserve"> = ₹3,00,000 (as per Income Tax rules for non-govt. employees)</w:t>
      </w:r>
    </w:p>
    <w:p w:rsidR="008C0B2D" w:rsidRPr="008C0B2D" w:rsidRDefault="008C0B2D" w:rsidP="00DB1074">
      <w:pPr>
        <w:numPr>
          <w:ilvl w:val="0"/>
          <w:numId w:val="5"/>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lastRenderedPageBreak/>
        <w:t>10 months' average salary before retirement</w:t>
      </w:r>
      <w:r w:rsidRPr="008C0B2D">
        <w:rPr>
          <w:rFonts w:ascii="Times New Roman" w:eastAsia="Aptos" w:hAnsi="Times New Roman" w:cs="Times New Roman"/>
          <w:sz w:val="24"/>
          <w:szCs w:val="24"/>
          <w:lang w:val="en-US" w:eastAsia="en-US"/>
        </w:rPr>
        <w:t xml:space="preserve"> To calculate average salary:</w:t>
      </w:r>
    </w:p>
    <w:p w:rsidR="008C0B2D" w:rsidRPr="008C0B2D" w:rsidRDefault="008C0B2D" w:rsidP="00DB1074">
      <w:pPr>
        <w:numPr>
          <w:ilvl w:val="1"/>
          <w:numId w:val="4"/>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Salary from March to July 2024 = ₹22,600</w:t>
      </w:r>
    </w:p>
    <w:p w:rsidR="00DB1074" w:rsidRDefault="008C0B2D" w:rsidP="00DB1074">
      <w:pPr>
        <w:numPr>
          <w:ilvl w:val="1"/>
          <w:numId w:val="4"/>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Salary from August to December 2024 = ₹22,900 </w:t>
      </w:r>
    </w:p>
    <w:p w:rsidR="00F93B3B" w:rsidRPr="00D075AE" w:rsidRDefault="008C0B2D" w:rsidP="00D075AE">
      <w:pPr>
        <w:numPr>
          <w:ilvl w:val="1"/>
          <w:numId w:val="4"/>
        </w:numPr>
        <w:spacing w:before="36" w:after="36" w:line="360" w:lineRule="auto"/>
        <w:jc w:val="both"/>
        <w:rPr>
          <w:rFonts w:ascii="Times New Roman" w:eastAsia="Arial" w:hAnsi="Times New Roman" w:cs="Times New Roman"/>
          <w:sz w:val="24"/>
          <w:szCs w:val="24"/>
        </w:rPr>
      </w:pPr>
      <w:r w:rsidRPr="008C0B2D">
        <w:rPr>
          <w:rFonts w:ascii="Times New Roman" w:eastAsia="Aptos" w:hAnsi="Times New Roman" w:cs="Times New Roman"/>
          <w:sz w:val="24"/>
          <w:szCs w:val="24"/>
          <w:lang w:val="en-US" w:eastAsia="en-US"/>
        </w:rPr>
        <w:t xml:space="preserve">Total salary = (₹22,600 × 5) + (₹22,900 × 5) = ₹1,13,000 + ₹1,14,500 = </w:t>
      </w:r>
      <w:bookmarkEnd w:id="2"/>
    </w:p>
    <w:p w:rsidR="00D075AE" w:rsidRDefault="00D075AE" w:rsidP="00D075AE">
      <w:pPr>
        <w:spacing w:before="36" w:after="36" w:line="360" w:lineRule="auto"/>
        <w:jc w:val="both"/>
        <w:rPr>
          <w:rFonts w:ascii="Times New Roman" w:eastAsia="Aptos" w:hAnsi="Times New Roman" w:cs="Times New Roman"/>
          <w:sz w:val="24"/>
          <w:szCs w:val="24"/>
          <w:lang w:val="en-US" w:eastAsia="en-US"/>
        </w:rPr>
      </w:pPr>
    </w:p>
    <w:p w:rsidR="00D075AE" w:rsidRPr="00362F3F" w:rsidRDefault="00D075AE" w:rsidP="00D075AE">
      <w:pPr>
        <w:spacing w:before="36" w:after="36" w:line="360" w:lineRule="auto"/>
        <w:jc w:val="both"/>
        <w:rPr>
          <w:rFonts w:ascii="Times New Roman" w:eastAsia="Arial" w:hAnsi="Times New Roman" w:cs="Times New Roman"/>
          <w:sz w:val="24"/>
          <w:szCs w:val="24"/>
        </w:rPr>
      </w:pPr>
    </w:p>
    <w:p w:rsidR="008C0B2D" w:rsidRPr="00362F3F" w:rsidRDefault="008C0B2D" w:rsidP="00DB1074">
      <w:pPr>
        <w:spacing w:line="360" w:lineRule="auto"/>
        <w:ind w:right="-613"/>
        <w:jc w:val="both"/>
        <w:rPr>
          <w:rFonts w:ascii="Times New Roman" w:eastAsia="Arial" w:hAnsi="Times New Roman" w:cs="Times New Roman"/>
          <w:sz w:val="24"/>
          <w:szCs w:val="24"/>
        </w:rPr>
      </w:pPr>
    </w:p>
    <w:p w:rsidR="00F93B3B" w:rsidRPr="00DB1074" w:rsidRDefault="00362F3F" w:rsidP="00DB1074">
      <w:pPr>
        <w:spacing w:line="360" w:lineRule="auto"/>
        <w:ind w:left="153" w:right="-613"/>
        <w:jc w:val="center"/>
        <w:rPr>
          <w:rFonts w:ascii="Times New Roman" w:eastAsia="Arial" w:hAnsi="Times New Roman" w:cs="Times New Roman"/>
          <w:b/>
          <w:sz w:val="24"/>
          <w:szCs w:val="24"/>
        </w:rPr>
      </w:pPr>
      <w:r w:rsidRPr="00DB1074">
        <w:rPr>
          <w:rFonts w:ascii="Times New Roman" w:eastAsia="Arial" w:hAnsi="Times New Roman" w:cs="Times New Roman"/>
          <w:b/>
          <w:sz w:val="24"/>
          <w:szCs w:val="24"/>
        </w:rPr>
        <w:t>Set – 2</w:t>
      </w:r>
    </w:p>
    <w:p w:rsidR="00F93B3B" w:rsidRPr="00DB1074" w:rsidRDefault="00F93B3B" w:rsidP="00DB1074">
      <w:pPr>
        <w:spacing w:line="360" w:lineRule="auto"/>
        <w:ind w:left="153" w:right="-613"/>
        <w:jc w:val="both"/>
        <w:rPr>
          <w:rFonts w:ascii="Times New Roman" w:eastAsia="Arial" w:hAnsi="Times New Roman" w:cs="Times New Roman"/>
          <w:b/>
          <w:sz w:val="24"/>
          <w:szCs w:val="24"/>
        </w:rPr>
      </w:pPr>
    </w:p>
    <w:p w:rsidR="00362F3F" w:rsidRPr="00DB1074" w:rsidRDefault="00DB1074"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w:t>
      </w:r>
      <w:r w:rsidR="00362F3F" w:rsidRPr="00DB1074">
        <w:rPr>
          <w:rFonts w:ascii="Times New Roman" w:eastAsia="Arial" w:hAnsi="Times New Roman" w:cs="Times New Roman"/>
          <w:b/>
          <w:sz w:val="24"/>
          <w:szCs w:val="24"/>
        </w:rPr>
        <w:t>4. Explain the deductions that are “Expressly allowed” in computing the income from business under the Indian Income Tax Act, 1961.</w:t>
      </w:r>
    </w:p>
    <w:p w:rsidR="00DB1074" w:rsidRPr="00DB1074" w:rsidRDefault="00DB1074" w:rsidP="00DB1074">
      <w:pPr>
        <w:spacing w:line="360" w:lineRule="auto"/>
        <w:ind w:left="153" w:right="-613"/>
        <w:jc w:val="both"/>
        <w:rPr>
          <w:rFonts w:ascii="Times New Roman" w:eastAsia="Arial" w:hAnsi="Times New Roman" w:cs="Times New Roman"/>
          <w:b/>
          <w:sz w:val="24"/>
          <w:szCs w:val="24"/>
        </w:rPr>
      </w:pPr>
      <w:proofErr w:type="gramStart"/>
      <w:r w:rsidRPr="00DB1074">
        <w:rPr>
          <w:rFonts w:ascii="Times New Roman" w:hAnsi="Times New Roman" w:cs="Times New Roman"/>
          <w:b/>
          <w:sz w:val="24"/>
          <w:szCs w:val="24"/>
        </w:rPr>
        <w:t>Ans 4.</w:t>
      </w:r>
      <w:proofErr w:type="gramEnd"/>
    </w:p>
    <w:p w:rsidR="008C0B2D" w:rsidRPr="008C0B2D" w:rsidRDefault="008C0B2D" w:rsidP="00DB1074">
      <w:pPr>
        <w:spacing w:line="360" w:lineRule="auto"/>
        <w:ind w:left="153" w:right="-613"/>
        <w:jc w:val="both"/>
        <w:rPr>
          <w:rFonts w:ascii="Times New Roman" w:eastAsia="Arial" w:hAnsi="Times New Roman" w:cs="Times New Roman"/>
          <w:b/>
          <w:bCs/>
          <w:sz w:val="24"/>
          <w:szCs w:val="24"/>
          <w:lang w:val="en-US"/>
        </w:rPr>
      </w:pPr>
      <w:r w:rsidRPr="00DB1074">
        <w:rPr>
          <w:rFonts w:ascii="Times New Roman" w:eastAsia="Arial" w:hAnsi="Times New Roman" w:cs="Times New Roman"/>
          <w:b/>
          <w:bCs/>
          <w:sz w:val="24"/>
          <w:szCs w:val="24"/>
          <w:lang w:val="en-US"/>
        </w:rPr>
        <w:t>Introduction to Expressly</w:t>
      </w:r>
      <w:r w:rsidRPr="008C0B2D">
        <w:rPr>
          <w:rFonts w:ascii="Times New Roman" w:eastAsia="Arial" w:hAnsi="Times New Roman" w:cs="Times New Roman"/>
          <w:b/>
          <w:bCs/>
          <w:sz w:val="24"/>
          <w:szCs w:val="24"/>
          <w:lang w:val="en-US"/>
        </w:rPr>
        <w:t xml:space="preserve"> Allowed Deductions</w:t>
      </w:r>
    </w:p>
    <w:p w:rsidR="008C0B2D" w:rsidRPr="008C0B2D" w:rsidRDefault="008C0B2D" w:rsidP="00DB1074">
      <w:pPr>
        <w:spacing w:line="360" w:lineRule="auto"/>
        <w:ind w:left="153"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Under the Indian Income Tax Act, 1961, while computing income from business or profession, certain deductions are specifically permitted. These are known as “expressly allowed deductions” and are listed mainly under Sections 30 to 37 of the Act. These provisions ensure that taxpayers can deduct legitimate business-related expenses from their gross income, resulting in a more accurate measure of net taxable income. These deductions must be real, business-related, and supported by proper documentation.</w:t>
      </w:r>
    </w:p>
    <w:p w:rsidR="008C0B2D" w:rsidRPr="008C0B2D" w:rsidRDefault="008C0B2D" w:rsidP="00DB1074">
      <w:pPr>
        <w:spacing w:line="360" w:lineRule="auto"/>
        <w:ind w:left="153" w:right="-613"/>
        <w:jc w:val="both"/>
        <w:rPr>
          <w:rFonts w:ascii="Times New Roman" w:eastAsia="Arial" w:hAnsi="Times New Roman" w:cs="Times New Roman"/>
          <w:b/>
          <w:bCs/>
          <w:sz w:val="24"/>
          <w:szCs w:val="24"/>
          <w:lang w:val="en-US"/>
        </w:rPr>
      </w:pPr>
      <w:r w:rsidRPr="008C0B2D">
        <w:rPr>
          <w:rFonts w:ascii="Times New Roman" w:eastAsia="Arial" w:hAnsi="Times New Roman" w:cs="Times New Roman"/>
          <w:b/>
          <w:bCs/>
          <w:sz w:val="24"/>
          <w:szCs w:val="24"/>
          <w:lang w:val="en-US"/>
        </w:rPr>
        <w:t>Deductions Relating to Rent, Rates, and Taxes – Section 30</w:t>
      </w:r>
    </w:p>
    <w:p w:rsidR="008C0B2D" w:rsidRPr="008C0B2D" w:rsidRDefault="008C0B2D" w:rsidP="00D075AE">
      <w:pPr>
        <w:spacing w:line="360" w:lineRule="auto"/>
        <w:ind w:left="153" w:right="-613"/>
        <w:jc w:val="both"/>
        <w:rPr>
          <w:rFonts w:ascii="Times New Roman" w:eastAsia="Arial" w:hAnsi="Times New Roman" w:cs="Times New Roman"/>
          <w:sz w:val="24"/>
          <w:szCs w:val="24"/>
          <w:lang w:val="en-US"/>
        </w:rPr>
      </w:pPr>
      <w:r w:rsidRPr="008C0B2D">
        <w:rPr>
          <w:rFonts w:ascii="Times New Roman" w:eastAsia="Arial" w:hAnsi="Times New Roman" w:cs="Times New Roman"/>
          <w:sz w:val="24"/>
          <w:szCs w:val="24"/>
          <w:lang w:val="en-US"/>
        </w:rPr>
        <w:t xml:space="preserve">Section 30 deals with deductions for rent, rates, taxes, and repairs for premises used for business </w:t>
      </w:r>
    </w:p>
    <w:p w:rsidR="008C0B2D" w:rsidRDefault="008C0B2D" w:rsidP="00DB1074">
      <w:pPr>
        <w:spacing w:line="360" w:lineRule="auto"/>
        <w:ind w:right="-613"/>
        <w:jc w:val="both"/>
        <w:rPr>
          <w:rFonts w:ascii="Times New Roman" w:eastAsia="Arial" w:hAnsi="Times New Roman" w:cs="Times New Roman"/>
          <w:sz w:val="24"/>
          <w:szCs w:val="24"/>
        </w:rPr>
      </w:pPr>
    </w:p>
    <w:p w:rsidR="00DB1074" w:rsidRPr="00362F3F" w:rsidRDefault="00DB1074" w:rsidP="00DB1074">
      <w:pPr>
        <w:spacing w:line="360" w:lineRule="auto"/>
        <w:ind w:right="-613"/>
        <w:jc w:val="both"/>
        <w:rPr>
          <w:rFonts w:ascii="Times New Roman" w:eastAsia="Arial" w:hAnsi="Times New Roman" w:cs="Times New Roman"/>
          <w:sz w:val="24"/>
          <w:szCs w:val="24"/>
        </w:rPr>
      </w:pPr>
    </w:p>
    <w:p w:rsidR="00362F3F" w:rsidRPr="00DB1074" w:rsidRDefault="00DB1074"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Q</w:t>
      </w:r>
      <w:r w:rsidR="00362F3F" w:rsidRPr="00DB1074">
        <w:rPr>
          <w:rFonts w:ascii="Times New Roman" w:eastAsia="Arial" w:hAnsi="Times New Roman" w:cs="Times New Roman"/>
          <w:b/>
          <w:sz w:val="24"/>
          <w:szCs w:val="24"/>
        </w:rPr>
        <w:t>5. Mr. Ravi Gupta provides the following information:</w:t>
      </w:r>
    </w:p>
    <w:p w:rsidR="008C0B2D" w:rsidRDefault="00362F3F" w:rsidP="00DB1074">
      <w:pPr>
        <w:spacing w:line="360" w:lineRule="auto"/>
        <w:ind w:left="153" w:right="-613"/>
        <w:jc w:val="both"/>
        <w:rPr>
          <w:rFonts w:ascii="Times New Roman" w:eastAsia="Arial" w:hAnsi="Times New Roman" w:cs="Times New Roman"/>
          <w:b/>
          <w:sz w:val="24"/>
          <w:szCs w:val="24"/>
        </w:rPr>
      </w:pPr>
      <w:r w:rsidRPr="00DB1074">
        <w:rPr>
          <w:rFonts w:ascii="Times New Roman" w:eastAsia="Arial" w:hAnsi="Times New Roman" w:cs="Times New Roman"/>
          <w:b/>
          <w:sz w:val="24"/>
          <w:szCs w:val="24"/>
        </w:rPr>
        <w:t>He built a house in 2001-02 at the cost of Rs. 2 lakhs for self-residence. On 1st August 2023, he sold his house for Rs. 15</w:t>
      </w:r>
      <w:proofErr w:type="gramStart"/>
      <w:r w:rsidRPr="00DB1074">
        <w:rPr>
          <w:rFonts w:ascii="Times New Roman" w:eastAsia="Arial" w:hAnsi="Times New Roman" w:cs="Times New Roman"/>
          <w:b/>
          <w:sz w:val="24"/>
          <w:szCs w:val="24"/>
        </w:rPr>
        <w:t>,00,000</w:t>
      </w:r>
      <w:proofErr w:type="gramEnd"/>
      <w:r w:rsidRPr="00DB1074">
        <w:rPr>
          <w:rFonts w:ascii="Times New Roman" w:eastAsia="Arial" w:hAnsi="Times New Roman" w:cs="Times New Roman"/>
          <w:b/>
          <w:sz w:val="24"/>
          <w:szCs w:val="24"/>
        </w:rPr>
        <w:t xml:space="preserve"> and purchased a new flat on 1st January 2024 for Rs. 5,00,000. Stamp fee paid Rs. 50,000 for registration. He paid 2% brokerage on the sales and </w:t>
      </w:r>
      <w:r w:rsidRPr="00DB1074">
        <w:rPr>
          <w:rFonts w:ascii="Times New Roman" w:eastAsia="Arial" w:hAnsi="Times New Roman" w:cs="Times New Roman"/>
          <w:b/>
          <w:sz w:val="24"/>
          <w:szCs w:val="24"/>
        </w:rPr>
        <w:lastRenderedPageBreak/>
        <w:t>purchase of the property. Compute capital gains. If the new flat is of Rs. 10 Lakhs, how much capital gains shall be taxed?</w:t>
      </w:r>
    </w:p>
    <w:p w:rsidR="00DB1074" w:rsidRPr="008C0B2D" w:rsidRDefault="00DB1074" w:rsidP="00DB1074">
      <w:pPr>
        <w:spacing w:line="360" w:lineRule="auto"/>
        <w:ind w:left="153" w:right="-613"/>
        <w:jc w:val="both"/>
        <w:rPr>
          <w:rFonts w:ascii="Times New Roman" w:eastAsia="Arial" w:hAnsi="Times New Roman" w:cs="Times New Roman"/>
          <w:b/>
          <w:sz w:val="24"/>
          <w:szCs w:val="24"/>
        </w:rPr>
      </w:pPr>
      <w:proofErr w:type="gramStart"/>
      <w:r>
        <w:rPr>
          <w:rFonts w:ascii="Times New Roman" w:eastAsia="Arial" w:hAnsi="Times New Roman" w:cs="Times New Roman"/>
          <w:b/>
          <w:sz w:val="24"/>
          <w:szCs w:val="24"/>
        </w:rPr>
        <w:t>Ans 5.</w:t>
      </w:r>
      <w:proofErr w:type="gramEnd"/>
    </w:p>
    <w:p w:rsidR="008C0B2D" w:rsidRPr="008C0B2D" w:rsidRDefault="008C0B2D" w:rsidP="00DB1074">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3" w:name="basic-information"/>
      <w:r w:rsidRPr="008C0B2D">
        <w:rPr>
          <w:rFonts w:ascii="Times New Roman" w:eastAsia="Times New Roman" w:hAnsi="Times New Roman" w:cs="Times New Roman"/>
          <w:b/>
          <w:bCs/>
          <w:sz w:val="24"/>
          <w:szCs w:val="24"/>
          <w:lang w:val="en-US" w:eastAsia="en-US"/>
        </w:rPr>
        <w:t>Basic Information</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Original Purchase Year:</w:t>
      </w:r>
      <w:r w:rsidRPr="008C0B2D">
        <w:rPr>
          <w:rFonts w:ascii="Times New Roman" w:eastAsia="Aptos" w:hAnsi="Times New Roman" w:cs="Times New Roman"/>
          <w:sz w:val="24"/>
          <w:szCs w:val="24"/>
          <w:lang w:val="en-US" w:eastAsia="en-US"/>
        </w:rPr>
        <w:t xml:space="preserve"> 2001–02</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Cost of Acquisition:</w:t>
      </w:r>
      <w:r w:rsidRPr="008C0B2D">
        <w:rPr>
          <w:rFonts w:ascii="Times New Roman" w:eastAsia="Aptos" w:hAnsi="Times New Roman" w:cs="Times New Roman"/>
          <w:sz w:val="24"/>
          <w:szCs w:val="24"/>
          <w:lang w:val="en-US" w:eastAsia="en-US"/>
        </w:rPr>
        <w:t xml:space="preserve"> ₹2,00,000</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Date of Sale:</w:t>
      </w:r>
      <w:r w:rsidRPr="008C0B2D">
        <w:rPr>
          <w:rFonts w:ascii="Times New Roman" w:eastAsia="Aptos" w:hAnsi="Times New Roman" w:cs="Times New Roman"/>
          <w:sz w:val="24"/>
          <w:szCs w:val="24"/>
          <w:lang w:val="en-US" w:eastAsia="en-US"/>
        </w:rPr>
        <w:t xml:space="preserve"> 1st August 2023 (FY 2023–24)</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Sale Price:</w:t>
      </w:r>
      <w:r w:rsidRPr="008C0B2D">
        <w:rPr>
          <w:rFonts w:ascii="Times New Roman" w:eastAsia="Aptos" w:hAnsi="Times New Roman" w:cs="Times New Roman"/>
          <w:sz w:val="24"/>
          <w:szCs w:val="24"/>
          <w:lang w:val="en-US" w:eastAsia="en-US"/>
        </w:rPr>
        <w:t xml:space="preserve"> ₹15,00,000</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New Property Purchased on:</w:t>
      </w:r>
      <w:r w:rsidRPr="008C0B2D">
        <w:rPr>
          <w:rFonts w:ascii="Times New Roman" w:eastAsia="Aptos" w:hAnsi="Times New Roman" w:cs="Times New Roman"/>
          <w:sz w:val="24"/>
          <w:szCs w:val="24"/>
          <w:lang w:val="en-US" w:eastAsia="en-US"/>
        </w:rPr>
        <w:t xml:space="preserve"> 1st January 2024</w:t>
      </w:r>
    </w:p>
    <w:p w:rsidR="008C0B2D" w:rsidRPr="008C0B2D" w:rsidRDefault="008C0B2D" w:rsidP="00DB1074">
      <w:pPr>
        <w:numPr>
          <w:ilvl w:val="0"/>
          <w:numId w:val="4"/>
        </w:numPr>
        <w:spacing w:after="20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b/>
          <w:bCs/>
          <w:sz w:val="24"/>
          <w:szCs w:val="24"/>
          <w:lang w:val="en-US" w:eastAsia="en-US"/>
        </w:rPr>
        <w:t>New Property Value (Case 1):</w:t>
      </w:r>
      <w:r w:rsidRPr="008C0B2D">
        <w:rPr>
          <w:rFonts w:ascii="Times New Roman" w:eastAsia="Aptos" w:hAnsi="Times New Roman" w:cs="Times New Roman"/>
          <w:sz w:val="24"/>
          <w:szCs w:val="24"/>
          <w:lang w:val="en-US" w:eastAsia="en-US"/>
        </w:rPr>
        <w:t xml:space="preserve"> ₹5,00,000</w:t>
      </w:r>
    </w:p>
    <w:p w:rsidR="00D075AE" w:rsidRDefault="00D075AE" w:rsidP="00DB1074">
      <w:pPr>
        <w:spacing w:before="180" w:after="180" w:line="360" w:lineRule="auto"/>
        <w:jc w:val="both"/>
        <w:rPr>
          <w:rFonts w:ascii="Times New Roman" w:eastAsia="Aptos" w:hAnsi="Times New Roman" w:cs="Times New Roman"/>
          <w:sz w:val="24"/>
          <w:szCs w:val="24"/>
          <w:lang w:val="en-US" w:eastAsia="en-US"/>
        </w:rPr>
      </w:pPr>
      <w:bookmarkStart w:id="4" w:name="Xec419ebbb5d5351582a27622f0e53a84dfb680e"/>
      <w:bookmarkEnd w:id="3"/>
    </w:p>
    <w:p w:rsidR="008C0B2D" w:rsidRDefault="008C0B2D" w:rsidP="00DB1074">
      <w:pPr>
        <w:spacing w:before="180" w:after="18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w:t>
      </w:r>
    </w:p>
    <w:p w:rsidR="008C0B2D" w:rsidRPr="00DB1074" w:rsidRDefault="00DB1074" w:rsidP="00DB1074">
      <w:pPr>
        <w:spacing w:line="360" w:lineRule="auto"/>
        <w:ind w:left="153" w:right="-613"/>
        <w:jc w:val="both"/>
        <w:rPr>
          <w:rFonts w:ascii="Times New Roman" w:eastAsia="Arial" w:hAnsi="Times New Roman" w:cs="Times New Roman"/>
          <w:b/>
          <w:bCs/>
          <w:sz w:val="24"/>
          <w:szCs w:val="24"/>
        </w:rPr>
      </w:pPr>
      <w:r w:rsidRPr="00DB1074">
        <w:rPr>
          <w:rFonts w:ascii="Times New Roman" w:eastAsia="Arial" w:hAnsi="Times New Roman" w:cs="Times New Roman"/>
          <w:b/>
          <w:sz w:val="24"/>
          <w:szCs w:val="24"/>
        </w:rPr>
        <w:t>Q</w:t>
      </w:r>
      <w:r w:rsidR="008C0B2D" w:rsidRPr="00DB1074">
        <w:rPr>
          <w:rFonts w:ascii="Times New Roman" w:eastAsia="Arial" w:hAnsi="Times New Roman" w:cs="Times New Roman"/>
          <w:b/>
          <w:sz w:val="24"/>
          <w:szCs w:val="24"/>
        </w:rPr>
        <w:t xml:space="preserve">6. </w:t>
      </w:r>
      <w:r w:rsidR="008C0B2D" w:rsidRPr="00DB1074">
        <w:rPr>
          <w:rFonts w:ascii="Times New Roman" w:eastAsia="Arial" w:hAnsi="Times New Roman" w:cs="Times New Roman"/>
          <w:b/>
          <w:bCs/>
          <w:sz w:val="24"/>
          <w:szCs w:val="24"/>
        </w:rPr>
        <w:t>Mr. Rathi provides the following information relevant for the assessment year 2024-25:</w:t>
      </w:r>
    </w:p>
    <w:tbl>
      <w:tblPr>
        <w:tblStyle w:val="TableGrid"/>
        <w:tblW w:w="5000" w:type="pct"/>
        <w:tblLook w:val="04A0"/>
      </w:tblPr>
      <w:tblGrid>
        <w:gridCol w:w="4623"/>
        <w:gridCol w:w="2087"/>
        <w:gridCol w:w="2532"/>
      </w:tblGrid>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Income </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Losses </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Taxable income from salary</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2,42,000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Income and loss from house property:</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House A</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1,15,000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House B</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3,30,000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Profit and Loss from Business: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A</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2,28,000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Business B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10,000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C (speculative)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11,000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Business D (speculative)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23,000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Capital Gains and Losses: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Short–term capital gains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6,000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Short–term capital loss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28,000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Long–term capital gains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12,500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lastRenderedPageBreak/>
              <w:t>Income and loss from other sources:</w:t>
            </w:r>
          </w:p>
        </w:tc>
        <w:tc>
          <w:tcPr>
            <w:tcW w:w="1129" w:type="pct"/>
          </w:tcPr>
          <w:p w:rsidR="008C0B2D" w:rsidRPr="00DB1074" w:rsidRDefault="008C0B2D" w:rsidP="00853D83">
            <w:pPr>
              <w:spacing w:line="360" w:lineRule="auto"/>
              <w:ind w:left="153" w:right="-613"/>
              <w:jc w:val="both"/>
              <w:rPr>
                <w:rFonts w:eastAsia="Arial"/>
                <w:b/>
                <w:bCs/>
                <w:sz w:val="24"/>
                <w:szCs w:val="24"/>
              </w:rPr>
            </w:pPr>
          </w:p>
        </w:tc>
        <w:tc>
          <w:tcPr>
            <w:tcW w:w="1370" w:type="pct"/>
          </w:tcPr>
          <w:p w:rsidR="008C0B2D" w:rsidRPr="00DB1074" w:rsidRDefault="008C0B2D" w:rsidP="00853D83">
            <w:pPr>
              <w:spacing w:line="360" w:lineRule="auto"/>
              <w:ind w:left="153" w:right="-613"/>
              <w:jc w:val="both"/>
              <w:rPr>
                <w:rFonts w:eastAsia="Arial"/>
                <w:b/>
                <w:bCs/>
                <w:sz w:val="24"/>
                <w:szCs w:val="24"/>
              </w:rPr>
            </w:pP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Income from card games</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13,000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Loss from card games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7,010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Loss on maintenance of horse race</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6,000</w:t>
            </w:r>
          </w:p>
        </w:tc>
      </w:tr>
      <w:tr w:rsidR="008C0B2D" w:rsidRPr="00DB1074" w:rsidTr="00DB1074">
        <w:tc>
          <w:tcPr>
            <w:tcW w:w="2501"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 xml:space="preserve">Interest on securities </w:t>
            </w:r>
          </w:p>
        </w:tc>
        <w:tc>
          <w:tcPr>
            <w:tcW w:w="1129"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4,000</w:t>
            </w:r>
          </w:p>
        </w:tc>
        <w:tc>
          <w:tcPr>
            <w:tcW w:w="1370" w:type="pct"/>
          </w:tcPr>
          <w:p w:rsidR="008C0B2D" w:rsidRPr="00DB1074" w:rsidRDefault="008C0B2D" w:rsidP="00853D83">
            <w:pPr>
              <w:spacing w:line="360" w:lineRule="auto"/>
              <w:ind w:left="153" w:right="-613"/>
              <w:jc w:val="both"/>
              <w:rPr>
                <w:rFonts w:eastAsia="Arial"/>
                <w:b/>
                <w:bCs/>
                <w:sz w:val="24"/>
                <w:szCs w:val="24"/>
              </w:rPr>
            </w:pPr>
            <w:r w:rsidRPr="00DB1074">
              <w:rPr>
                <w:rFonts w:eastAsia="Arial"/>
                <w:b/>
                <w:bCs/>
                <w:sz w:val="24"/>
                <w:szCs w:val="24"/>
              </w:rPr>
              <w:t>-</w:t>
            </w:r>
          </w:p>
        </w:tc>
      </w:tr>
    </w:tbl>
    <w:p w:rsidR="008C0B2D" w:rsidRPr="00DB1074" w:rsidRDefault="008C0B2D" w:rsidP="00DB1074">
      <w:pPr>
        <w:spacing w:after="0" w:line="360" w:lineRule="auto"/>
        <w:ind w:left="153" w:right="-613"/>
        <w:jc w:val="both"/>
        <w:rPr>
          <w:rFonts w:ascii="Times New Roman" w:eastAsia="Arial" w:hAnsi="Times New Roman" w:cs="Times New Roman"/>
          <w:b/>
          <w:bCs/>
          <w:sz w:val="24"/>
          <w:szCs w:val="24"/>
        </w:rPr>
      </w:pPr>
    </w:p>
    <w:p w:rsidR="008C0B2D" w:rsidRDefault="008C0B2D" w:rsidP="00DB1074">
      <w:pPr>
        <w:spacing w:line="360" w:lineRule="auto"/>
        <w:ind w:left="153" w:right="-613"/>
        <w:jc w:val="both"/>
        <w:rPr>
          <w:rFonts w:ascii="Times New Roman" w:eastAsia="Arial" w:hAnsi="Times New Roman" w:cs="Times New Roman"/>
          <w:b/>
          <w:bCs/>
          <w:sz w:val="24"/>
          <w:szCs w:val="24"/>
        </w:rPr>
      </w:pPr>
      <w:r w:rsidRPr="00DB1074">
        <w:rPr>
          <w:rFonts w:ascii="Times New Roman" w:eastAsia="Arial" w:hAnsi="Times New Roman" w:cs="Times New Roman"/>
          <w:b/>
          <w:bCs/>
          <w:sz w:val="24"/>
          <w:szCs w:val="24"/>
        </w:rPr>
        <w:t>Compute the gross total income of Mr. Rathi for the assessment year 2024-25.</w:t>
      </w:r>
    </w:p>
    <w:p w:rsidR="00DB1074" w:rsidRPr="008C0B2D" w:rsidRDefault="00DB1074" w:rsidP="00DB1074">
      <w:pPr>
        <w:spacing w:line="360" w:lineRule="auto"/>
        <w:ind w:right="-613"/>
        <w:jc w:val="both"/>
        <w:rPr>
          <w:rFonts w:ascii="Times New Roman" w:eastAsia="Arial" w:hAnsi="Times New Roman" w:cs="Times New Roman"/>
          <w:b/>
          <w:bCs/>
          <w:sz w:val="24"/>
          <w:szCs w:val="24"/>
        </w:rPr>
      </w:pPr>
      <w:proofErr w:type="gramStart"/>
      <w:r>
        <w:rPr>
          <w:rFonts w:ascii="Times New Roman" w:eastAsia="Arial" w:hAnsi="Times New Roman" w:cs="Times New Roman"/>
          <w:b/>
          <w:bCs/>
          <w:sz w:val="24"/>
          <w:szCs w:val="24"/>
        </w:rPr>
        <w:t>Ans 6.</w:t>
      </w:r>
      <w:proofErr w:type="gramEnd"/>
    </w:p>
    <w:p w:rsidR="008C0B2D" w:rsidRPr="008C0B2D" w:rsidRDefault="008C0B2D" w:rsidP="00DB1074">
      <w:pPr>
        <w:spacing w:before="180" w:after="180"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To compute the </w:t>
      </w:r>
      <w:r w:rsidRPr="008C0B2D">
        <w:rPr>
          <w:rFonts w:ascii="Times New Roman" w:eastAsia="Aptos" w:hAnsi="Times New Roman" w:cs="Times New Roman"/>
          <w:bCs/>
          <w:sz w:val="24"/>
          <w:szCs w:val="24"/>
          <w:lang w:val="en-US" w:eastAsia="en-US"/>
        </w:rPr>
        <w:t>Gross Total Income (GTI)</w:t>
      </w:r>
      <w:r w:rsidRPr="008C0B2D">
        <w:rPr>
          <w:rFonts w:ascii="Times New Roman" w:eastAsia="Aptos" w:hAnsi="Times New Roman" w:cs="Times New Roman"/>
          <w:sz w:val="24"/>
          <w:szCs w:val="24"/>
          <w:lang w:val="en-US" w:eastAsia="en-US"/>
        </w:rPr>
        <w:t xml:space="preserve"> of </w:t>
      </w:r>
      <w:r w:rsidRPr="008C0B2D">
        <w:rPr>
          <w:rFonts w:ascii="Times New Roman" w:eastAsia="Aptos" w:hAnsi="Times New Roman" w:cs="Times New Roman"/>
          <w:bCs/>
          <w:sz w:val="24"/>
          <w:szCs w:val="24"/>
          <w:lang w:val="en-US" w:eastAsia="en-US"/>
        </w:rPr>
        <w:t>Mr. Rathi</w:t>
      </w:r>
      <w:r w:rsidRPr="008C0B2D">
        <w:rPr>
          <w:rFonts w:ascii="Times New Roman" w:eastAsia="Aptos" w:hAnsi="Times New Roman" w:cs="Times New Roman"/>
          <w:sz w:val="24"/>
          <w:szCs w:val="24"/>
          <w:lang w:val="en-US" w:eastAsia="en-US"/>
        </w:rPr>
        <w:t xml:space="preserve"> for </w:t>
      </w:r>
      <w:r w:rsidRPr="008C0B2D">
        <w:rPr>
          <w:rFonts w:ascii="Times New Roman" w:eastAsia="Aptos" w:hAnsi="Times New Roman" w:cs="Times New Roman"/>
          <w:bCs/>
          <w:sz w:val="24"/>
          <w:szCs w:val="24"/>
          <w:lang w:val="en-US" w:eastAsia="en-US"/>
        </w:rPr>
        <w:t>Assessment Year 2024–25</w:t>
      </w:r>
      <w:r w:rsidRPr="008C0B2D">
        <w:rPr>
          <w:rFonts w:ascii="Times New Roman" w:eastAsia="Aptos" w:hAnsi="Times New Roman" w:cs="Times New Roman"/>
          <w:sz w:val="24"/>
          <w:szCs w:val="24"/>
          <w:lang w:val="en-US" w:eastAsia="en-US"/>
        </w:rPr>
        <w:t>, we must:</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Group the income and losses under respective heads.</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Adjust permissible intra-head and inter-head losses as per </w:t>
      </w:r>
      <w:r w:rsidRPr="008C0B2D">
        <w:rPr>
          <w:rFonts w:ascii="Times New Roman" w:eastAsia="Aptos" w:hAnsi="Times New Roman" w:cs="Times New Roman"/>
          <w:bCs/>
          <w:sz w:val="24"/>
          <w:szCs w:val="24"/>
          <w:lang w:val="en-US" w:eastAsia="en-US"/>
        </w:rPr>
        <w:t>Income Tax Act, 1961</w:t>
      </w:r>
      <w:r w:rsidRPr="008C0B2D">
        <w:rPr>
          <w:rFonts w:ascii="Times New Roman" w:eastAsia="Aptos" w:hAnsi="Times New Roman" w:cs="Times New Roman"/>
          <w:sz w:val="24"/>
          <w:szCs w:val="24"/>
          <w:lang w:val="en-US" w:eastAsia="en-US"/>
        </w:rPr>
        <w:t xml:space="preserve"> rules.</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Exclude losses that </w:t>
      </w:r>
      <w:r w:rsidRPr="008C0B2D">
        <w:rPr>
          <w:rFonts w:ascii="Times New Roman" w:eastAsia="Aptos" w:hAnsi="Times New Roman" w:cs="Times New Roman"/>
          <w:bCs/>
          <w:sz w:val="24"/>
          <w:szCs w:val="24"/>
          <w:lang w:val="en-US" w:eastAsia="en-US"/>
        </w:rPr>
        <w:t>cannot be set off</w:t>
      </w:r>
      <w:r w:rsidRPr="008C0B2D">
        <w:rPr>
          <w:rFonts w:ascii="Times New Roman" w:eastAsia="Aptos" w:hAnsi="Times New Roman" w:cs="Times New Roman"/>
          <w:sz w:val="24"/>
          <w:szCs w:val="24"/>
          <w:lang w:val="en-US" w:eastAsia="en-US"/>
        </w:rPr>
        <w:t xml:space="preserve"> against other incomes.</w:t>
      </w:r>
    </w:p>
    <w:p w:rsidR="008C0B2D" w:rsidRPr="008C0B2D" w:rsidRDefault="008C0B2D" w:rsidP="00DB1074">
      <w:pPr>
        <w:numPr>
          <w:ilvl w:val="0"/>
          <w:numId w:val="5"/>
        </w:numPr>
        <w:spacing w:before="36" w:after="36" w:line="360" w:lineRule="auto"/>
        <w:jc w:val="both"/>
        <w:rPr>
          <w:rFonts w:ascii="Times New Roman" w:eastAsia="Aptos" w:hAnsi="Times New Roman" w:cs="Times New Roman"/>
          <w:sz w:val="24"/>
          <w:szCs w:val="24"/>
          <w:lang w:val="en-US" w:eastAsia="en-US"/>
        </w:rPr>
      </w:pPr>
      <w:r w:rsidRPr="008C0B2D">
        <w:rPr>
          <w:rFonts w:ascii="Times New Roman" w:eastAsia="Aptos" w:hAnsi="Times New Roman" w:cs="Times New Roman"/>
          <w:sz w:val="24"/>
          <w:szCs w:val="24"/>
          <w:lang w:val="en-US" w:eastAsia="en-US"/>
        </w:rPr>
        <w:t xml:space="preserve">Compute the final </w:t>
      </w:r>
      <w:r w:rsidRPr="008C0B2D">
        <w:rPr>
          <w:rFonts w:ascii="Times New Roman" w:eastAsia="Aptos" w:hAnsi="Times New Roman" w:cs="Times New Roman"/>
          <w:bCs/>
          <w:sz w:val="24"/>
          <w:szCs w:val="24"/>
          <w:lang w:val="en-US" w:eastAsia="en-US"/>
        </w:rPr>
        <w:t>Gross Total Income</w:t>
      </w:r>
      <w:r w:rsidRPr="008C0B2D">
        <w:rPr>
          <w:rFonts w:ascii="Times New Roman" w:eastAsia="Aptos" w:hAnsi="Times New Roman" w:cs="Times New Roman"/>
          <w:sz w:val="24"/>
          <w:szCs w:val="24"/>
          <w:lang w:val="en-US" w:eastAsia="en-US"/>
        </w:rPr>
        <w:t xml:space="preserve"> after set-off.</w:t>
      </w:r>
    </w:p>
    <w:p w:rsidR="008C0B2D" w:rsidRPr="008C0B2D" w:rsidRDefault="008C0B2D" w:rsidP="00DB1074">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5" w:name="X62246fc4692b322335a12761e5f59261cc7a00f"/>
      <w:bookmarkEnd w:id="4"/>
      <w:r w:rsidRPr="008C0B2D">
        <w:rPr>
          <w:rFonts w:ascii="Times New Roman" w:eastAsia="Times New Roman" w:hAnsi="Times New Roman" w:cs="Times New Roman"/>
          <w:b/>
          <w:bCs/>
          <w:sz w:val="24"/>
          <w:szCs w:val="24"/>
          <w:lang w:val="en-US" w:eastAsia="en-US"/>
        </w:rPr>
        <w:t>Step 1: Classification of Income and Losses</w:t>
      </w:r>
    </w:p>
    <w:tbl>
      <w:tblPr>
        <w:tblStyle w:val="Table1"/>
        <w:tblW w:w="5000" w:type="pct"/>
        <w:tblLook w:val="0020"/>
      </w:tblPr>
      <w:tblGrid>
        <w:gridCol w:w="5140"/>
        <w:gridCol w:w="2244"/>
        <w:gridCol w:w="1858"/>
      </w:tblGrid>
      <w:tr w:rsidR="008C0B2D" w:rsidRPr="008C0B2D" w:rsidTr="00DB1074">
        <w:trPr>
          <w:cnfStyle w:val="100000000000"/>
          <w:tblHeader/>
        </w:trPr>
        <w:tc>
          <w:tcPr>
            <w:tcW w:w="2781"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rPr>
              <w:t>Head of Income</w:t>
            </w:r>
          </w:p>
        </w:tc>
        <w:tc>
          <w:tcPr>
            <w:tcW w:w="1214"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rPr>
              <w:t>Income (₹)</w:t>
            </w:r>
          </w:p>
        </w:tc>
        <w:tc>
          <w:tcPr>
            <w:tcW w:w="1005"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rPr>
              <w:t>Loss (₹)</w:t>
            </w:r>
          </w:p>
        </w:tc>
      </w:tr>
      <w:tr w:rsidR="008C0B2D" w:rsidRPr="008C0B2D" w:rsidTr="00DB1074">
        <w:tc>
          <w:tcPr>
            <w:tcW w:w="2781"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b/>
                <w:bCs/>
              </w:rPr>
              <w:t>Salary</w:t>
            </w:r>
          </w:p>
        </w:tc>
        <w:tc>
          <w:tcPr>
            <w:tcW w:w="1214"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rPr>
              <w:t>2,42,000</w:t>
            </w:r>
          </w:p>
        </w:tc>
        <w:tc>
          <w:tcPr>
            <w:tcW w:w="1005" w:type="pct"/>
          </w:tcPr>
          <w:p w:rsidR="008C0B2D" w:rsidRPr="008C0B2D" w:rsidRDefault="008C0B2D" w:rsidP="008C0B2D">
            <w:pPr>
              <w:spacing w:before="36" w:after="36" w:line="360" w:lineRule="auto"/>
              <w:jc w:val="both"/>
              <w:rPr>
                <w:rFonts w:ascii="Times New Roman" w:hAnsi="Times New Roman"/>
              </w:rPr>
            </w:pPr>
            <w:r w:rsidRPr="008C0B2D">
              <w:rPr>
                <w:rFonts w:ascii="Times New Roman" w:hAnsi="Times New Roman"/>
              </w:rPr>
              <w:t>-</w:t>
            </w:r>
          </w:p>
        </w:tc>
      </w:tr>
      <w:bookmarkEnd w:id="5"/>
    </w:tbl>
    <w:p w:rsidR="008C0B2D" w:rsidRPr="00362F3F" w:rsidRDefault="008C0B2D" w:rsidP="00DB1074">
      <w:pPr>
        <w:spacing w:line="360" w:lineRule="auto"/>
        <w:ind w:left="153" w:right="-613"/>
        <w:jc w:val="both"/>
        <w:rPr>
          <w:rFonts w:ascii="Times New Roman" w:eastAsia="Arial" w:hAnsi="Times New Roman" w:cs="Times New Roman"/>
          <w:sz w:val="24"/>
          <w:szCs w:val="24"/>
        </w:rPr>
      </w:pPr>
    </w:p>
    <w:sectPr w:rsidR="008C0B2D" w:rsidRPr="00362F3F" w:rsidSect="00362F3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360" w:rsidRDefault="00370360">
      <w:pPr>
        <w:spacing w:after="0" w:line="240" w:lineRule="auto"/>
      </w:pPr>
      <w:r>
        <w:separator/>
      </w:r>
    </w:p>
  </w:endnote>
  <w:endnote w:type="continuationSeparator" w:id="0">
    <w:p w:rsidR="00370360" w:rsidRDefault="00370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360" w:rsidRDefault="00370360">
      <w:pPr>
        <w:spacing w:after="0" w:line="240" w:lineRule="auto"/>
      </w:pPr>
      <w:r>
        <w:separator/>
      </w:r>
    </w:p>
  </w:footnote>
  <w:footnote w:type="continuationSeparator" w:id="0">
    <w:p w:rsidR="00370360" w:rsidRDefault="00370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3BA3C42"/>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8C96E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BD3A3C"/>
    <w:multiLevelType w:val="hybridMultilevel"/>
    <w:tmpl w:val="7F86A088"/>
    <w:lvl w:ilvl="0" w:tplc="40090013">
      <w:start w:val="1"/>
      <w:numFmt w:val="upperRoman"/>
      <w:lvlText w:val="%1."/>
      <w:lvlJc w:val="righ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1492"/>
    <w:rsid w:val="00005F9A"/>
    <w:rsid w:val="00014D97"/>
    <w:rsid w:val="00021DD2"/>
    <w:rsid w:val="00024EA8"/>
    <w:rsid w:val="00037F7D"/>
    <w:rsid w:val="00040775"/>
    <w:rsid w:val="0004477D"/>
    <w:rsid w:val="00045EB6"/>
    <w:rsid w:val="000462D0"/>
    <w:rsid w:val="000511D0"/>
    <w:rsid w:val="000619EA"/>
    <w:rsid w:val="00065433"/>
    <w:rsid w:val="00070D82"/>
    <w:rsid w:val="000815CB"/>
    <w:rsid w:val="000949BE"/>
    <w:rsid w:val="000955B0"/>
    <w:rsid w:val="000B467B"/>
    <w:rsid w:val="000E2F44"/>
    <w:rsid w:val="000E3E20"/>
    <w:rsid w:val="000E4682"/>
    <w:rsid w:val="000E4FDE"/>
    <w:rsid w:val="000F67C8"/>
    <w:rsid w:val="00100A31"/>
    <w:rsid w:val="00102F5E"/>
    <w:rsid w:val="00103D9C"/>
    <w:rsid w:val="0010485B"/>
    <w:rsid w:val="00106340"/>
    <w:rsid w:val="001127E6"/>
    <w:rsid w:val="00132365"/>
    <w:rsid w:val="00132CEB"/>
    <w:rsid w:val="001348A5"/>
    <w:rsid w:val="00141F77"/>
    <w:rsid w:val="00156689"/>
    <w:rsid w:val="00157757"/>
    <w:rsid w:val="00160DBF"/>
    <w:rsid w:val="00172481"/>
    <w:rsid w:val="00177D53"/>
    <w:rsid w:val="00183130"/>
    <w:rsid w:val="001838C3"/>
    <w:rsid w:val="00186278"/>
    <w:rsid w:val="001911AA"/>
    <w:rsid w:val="001A6047"/>
    <w:rsid w:val="001A6BC6"/>
    <w:rsid w:val="001C514A"/>
    <w:rsid w:val="001D1738"/>
    <w:rsid w:val="001E494A"/>
    <w:rsid w:val="001E4CD4"/>
    <w:rsid w:val="001E6A9F"/>
    <w:rsid w:val="001F4636"/>
    <w:rsid w:val="00212FCF"/>
    <w:rsid w:val="0023078A"/>
    <w:rsid w:val="00243472"/>
    <w:rsid w:val="00250310"/>
    <w:rsid w:val="002601F3"/>
    <w:rsid w:val="00266B79"/>
    <w:rsid w:val="0027106F"/>
    <w:rsid w:val="00274A2A"/>
    <w:rsid w:val="002757C2"/>
    <w:rsid w:val="0029729A"/>
    <w:rsid w:val="002B5EC5"/>
    <w:rsid w:val="002C3762"/>
    <w:rsid w:val="002D2752"/>
    <w:rsid w:val="002D70C8"/>
    <w:rsid w:val="002D75E6"/>
    <w:rsid w:val="002F4643"/>
    <w:rsid w:val="00330AF0"/>
    <w:rsid w:val="00341257"/>
    <w:rsid w:val="00345930"/>
    <w:rsid w:val="00354502"/>
    <w:rsid w:val="0035567D"/>
    <w:rsid w:val="00362F3F"/>
    <w:rsid w:val="00370360"/>
    <w:rsid w:val="003850B1"/>
    <w:rsid w:val="003A684E"/>
    <w:rsid w:val="003C7D8A"/>
    <w:rsid w:val="003D09C7"/>
    <w:rsid w:val="003E2B06"/>
    <w:rsid w:val="003E4908"/>
    <w:rsid w:val="003F1B19"/>
    <w:rsid w:val="0040085D"/>
    <w:rsid w:val="00404042"/>
    <w:rsid w:val="004061DC"/>
    <w:rsid w:val="004232A9"/>
    <w:rsid w:val="00427D2B"/>
    <w:rsid w:val="00447104"/>
    <w:rsid w:val="00447CFA"/>
    <w:rsid w:val="0045316E"/>
    <w:rsid w:val="00455416"/>
    <w:rsid w:val="0046595A"/>
    <w:rsid w:val="00486E17"/>
    <w:rsid w:val="00490A6F"/>
    <w:rsid w:val="004A1CD7"/>
    <w:rsid w:val="004B0D60"/>
    <w:rsid w:val="004B3053"/>
    <w:rsid w:val="004B58EA"/>
    <w:rsid w:val="004C1A52"/>
    <w:rsid w:val="004C2D2B"/>
    <w:rsid w:val="004C46EB"/>
    <w:rsid w:val="004C6CC0"/>
    <w:rsid w:val="004D4EC1"/>
    <w:rsid w:val="004E6CEE"/>
    <w:rsid w:val="004F687F"/>
    <w:rsid w:val="004F6A81"/>
    <w:rsid w:val="00514F89"/>
    <w:rsid w:val="00523014"/>
    <w:rsid w:val="00526D88"/>
    <w:rsid w:val="005341C9"/>
    <w:rsid w:val="005369D0"/>
    <w:rsid w:val="00536C04"/>
    <w:rsid w:val="00547DCC"/>
    <w:rsid w:val="00552DA4"/>
    <w:rsid w:val="00554803"/>
    <w:rsid w:val="00563F03"/>
    <w:rsid w:val="00570F24"/>
    <w:rsid w:val="00572525"/>
    <w:rsid w:val="0058036A"/>
    <w:rsid w:val="005849FF"/>
    <w:rsid w:val="00592906"/>
    <w:rsid w:val="00595428"/>
    <w:rsid w:val="00595608"/>
    <w:rsid w:val="005A4423"/>
    <w:rsid w:val="005A69EB"/>
    <w:rsid w:val="005B1826"/>
    <w:rsid w:val="005C03EB"/>
    <w:rsid w:val="005E5E55"/>
    <w:rsid w:val="005E6643"/>
    <w:rsid w:val="005E6E9F"/>
    <w:rsid w:val="005F3D92"/>
    <w:rsid w:val="0060010A"/>
    <w:rsid w:val="00610449"/>
    <w:rsid w:val="00610D38"/>
    <w:rsid w:val="00622BCA"/>
    <w:rsid w:val="006248D4"/>
    <w:rsid w:val="00646493"/>
    <w:rsid w:val="00650150"/>
    <w:rsid w:val="0065252F"/>
    <w:rsid w:val="00660172"/>
    <w:rsid w:val="00661432"/>
    <w:rsid w:val="006629E0"/>
    <w:rsid w:val="006632FB"/>
    <w:rsid w:val="00666D9C"/>
    <w:rsid w:val="00684412"/>
    <w:rsid w:val="0069405C"/>
    <w:rsid w:val="006A768B"/>
    <w:rsid w:val="006B4DD6"/>
    <w:rsid w:val="006B7E40"/>
    <w:rsid w:val="006C35BE"/>
    <w:rsid w:val="006C498D"/>
    <w:rsid w:val="006D304D"/>
    <w:rsid w:val="006D3DFD"/>
    <w:rsid w:val="006E7B3B"/>
    <w:rsid w:val="006F01C8"/>
    <w:rsid w:val="00710205"/>
    <w:rsid w:val="00720519"/>
    <w:rsid w:val="007354BD"/>
    <w:rsid w:val="007367B9"/>
    <w:rsid w:val="00756E27"/>
    <w:rsid w:val="007618C1"/>
    <w:rsid w:val="00765818"/>
    <w:rsid w:val="00772920"/>
    <w:rsid w:val="0079194E"/>
    <w:rsid w:val="007961B1"/>
    <w:rsid w:val="007A7DC3"/>
    <w:rsid w:val="007B2760"/>
    <w:rsid w:val="007B53A3"/>
    <w:rsid w:val="007C5F5D"/>
    <w:rsid w:val="007D6CD9"/>
    <w:rsid w:val="007E04DC"/>
    <w:rsid w:val="007E357C"/>
    <w:rsid w:val="007F0C2B"/>
    <w:rsid w:val="00800627"/>
    <w:rsid w:val="00811360"/>
    <w:rsid w:val="00816193"/>
    <w:rsid w:val="00820AC7"/>
    <w:rsid w:val="00820EF5"/>
    <w:rsid w:val="008444C9"/>
    <w:rsid w:val="00846D36"/>
    <w:rsid w:val="00847B2D"/>
    <w:rsid w:val="00855710"/>
    <w:rsid w:val="00856A2F"/>
    <w:rsid w:val="00857CF3"/>
    <w:rsid w:val="008649F0"/>
    <w:rsid w:val="0087463D"/>
    <w:rsid w:val="00875B8D"/>
    <w:rsid w:val="008903F4"/>
    <w:rsid w:val="008A05BE"/>
    <w:rsid w:val="008A096C"/>
    <w:rsid w:val="008A3018"/>
    <w:rsid w:val="008B77A0"/>
    <w:rsid w:val="008C0B2D"/>
    <w:rsid w:val="008C49A3"/>
    <w:rsid w:val="008D0899"/>
    <w:rsid w:val="008E017F"/>
    <w:rsid w:val="008E3650"/>
    <w:rsid w:val="008F0633"/>
    <w:rsid w:val="008F18BD"/>
    <w:rsid w:val="009070BC"/>
    <w:rsid w:val="00910684"/>
    <w:rsid w:val="00911876"/>
    <w:rsid w:val="0092623C"/>
    <w:rsid w:val="00927FE7"/>
    <w:rsid w:val="00933D43"/>
    <w:rsid w:val="009416BA"/>
    <w:rsid w:val="00947A4E"/>
    <w:rsid w:val="00957F12"/>
    <w:rsid w:val="00974922"/>
    <w:rsid w:val="00975AFA"/>
    <w:rsid w:val="0098285D"/>
    <w:rsid w:val="009947B3"/>
    <w:rsid w:val="009B510E"/>
    <w:rsid w:val="009B5A9D"/>
    <w:rsid w:val="009E3AD0"/>
    <w:rsid w:val="009E4C76"/>
    <w:rsid w:val="009F039B"/>
    <w:rsid w:val="009F13DF"/>
    <w:rsid w:val="009F19CD"/>
    <w:rsid w:val="009F661A"/>
    <w:rsid w:val="00A11094"/>
    <w:rsid w:val="00A1731D"/>
    <w:rsid w:val="00A216DA"/>
    <w:rsid w:val="00A23415"/>
    <w:rsid w:val="00A235DE"/>
    <w:rsid w:val="00A25256"/>
    <w:rsid w:val="00A25B4C"/>
    <w:rsid w:val="00A34A9E"/>
    <w:rsid w:val="00A46C82"/>
    <w:rsid w:val="00A52102"/>
    <w:rsid w:val="00A82F1B"/>
    <w:rsid w:val="00A84FC0"/>
    <w:rsid w:val="00A91DAD"/>
    <w:rsid w:val="00AB1DDE"/>
    <w:rsid w:val="00AB1FDB"/>
    <w:rsid w:val="00AD0C40"/>
    <w:rsid w:val="00AD782B"/>
    <w:rsid w:val="00AF2A69"/>
    <w:rsid w:val="00AF5C1C"/>
    <w:rsid w:val="00B14DF1"/>
    <w:rsid w:val="00B17223"/>
    <w:rsid w:val="00B2512B"/>
    <w:rsid w:val="00B328E8"/>
    <w:rsid w:val="00B35968"/>
    <w:rsid w:val="00B41CD7"/>
    <w:rsid w:val="00B46811"/>
    <w:rsid w:val="00B51005"/>
    <w:rsid w:val="00B53F7D"/>
    <w:rsid w:val="00B65EF4"/>
    <w:rsid w:val="00B77001"/>
    <w:rsid w:val="00B903E4"/>
    <w:rsid w:val="00B92584"/>
    <w:rsid w:val="00B92C33"/>
    <w:rsid w:val="00BA0C8A"/>
    <w:rsid w:val="00BA19FD"/>
    <w:rsid w:val="00BC1380"/>
    <w:rsid w:val="00BC682B"/>
    <w:rsid w:val="00BE194F"/>
    <w:rsid w:val="00BE6CDF"/>
    <w:rsid w:val="00BF36BE"/>
    <w:rsid w:val="00BF39BC"/>
    <w:rsid w:val="00BF6312"/>
    <w:rsid w:val="00C34D14"/>
    <w:rsid w:val="00C413F6"/>
    <w:rsid w:val="00C466C0"/>
    <w:rsid w:val="00C47218"/>
    <w:rsid w:val="00C510FB"/>
    <w:rsid w:val="00C53CC0"/>
    <w:rsid w:val="00C6638A"/>
    <w:rsid w:val="00C70B33"/>
    <w:rsid w:val="00C800A8"/>
    <w:rsid w:val="00C84C09"/>
    <w:rsid w:val="00C87977"/>
    <w:rsid w:val="00C93CAD"/>
    <w:rsid w:val="00C94D1D"/>
    <w:rsid w:val="00C95DB4"/>
    <w:rsid w:val="00CA61F8"/>
    <w:rsid w:val="00CC230F"/>
    <w:rsid w:val="00CD2C8C"/>
    <w:rsid w:val="00CD544B"/>
    <w:rsid w:val="00CD591B"/>
    <w:rsid w:val="00CF490D"/>
    <w:rsid w:val="00CF6CC9"/>
    <w:rsid w:val="00CF7D48"/>
    <w:rsid w:val="00D05DA8"/>
    <w:rsid w:val="00D075AE"/>
    <w:rsid w:val="00D10F17"/>
    <w:rsid w:val="00D30236"/>
    <w:rsid w:val="00D37338"/>
    <w:rsid w:val="00D51E6A"/>
    <w:rsid w:val="00D65A2A"/>
    <w:rsid w:val="00D707B6"/>
    <w:rsid w:val="00D82EE2"/>
    <w:rsid w:val="00D91D46"/>
    <w:rsid w:val="00DA57DB"/>
    <w:rsid w:val="00DB1074"/>
    <w:rsid w:val="00DB7E03"/>
    <w:rsid w:val="00DD350A"/>
    <w:rsid w:val="00DE5F07"/>
    <w:rsid w:val="00DF0617"/>
    <w:rsid w:val="00DF5D11"/>
    <w:rsid w:val="00E01D6B"/>
    <w:rsid w:val="00E02C12"/>
    <w:rsid w:val="00E223F1"/>
    <w:rsid w:val="00E50F19"/>
    <w:rsid w:val="00E61028"/>
    <w:rsid w:val="00E7220C"/>
    <w:rsid w:val="00E74D5F"/>
    <w:rsid w:val="00E81C4B"/>
    <w:rsid w:val="00EB2604"/>
    <w:rsid w:val="00ED577C"/>
    <w:rsid w:val="00EE351A"/>
    <w:rsid w:val="00EF0F74"/>
    <w:rsid w:val="00EF5079"/>
    <w:rsid w:val="00EF602C"/>
    <w:rsid w:val="00EF7585"/>
    <w:rsid w:val="00F11AAB"/>
    <w:rsid w:val="00F15D83"/>
    <w:rsid w:val="00F26572"/>
    <w:rsid w:val="00F26F38"/>
    <w:rsid w:val="00F31CEA"/>
    <w:rsid w:val="00F46D65"/>
    <w:rsid w:val="00F56982"/>
    <w:rsid w:val="00F61980"/>
    <w:rsid w:val="00F637E3"/>
    <w:rsid w:val="00F758B8"/>
    <w:rsid w:val="00F80453"/>
    <w:rsid w:val="00F93B3B"/>
    <w:rsid w:val="00F96391"/>
    <w:rsid w:val="00FA1868"/>
    <w:rsid w:val="00FB3D2C"/>
    <w:rsid w:val="00FC464C"/>
    <w:rsid w:val="00FE68A2"/>
    <w:rsid w:val="00FE7333"/>
    <w:rsid w:val="00FF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9258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9258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9258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9258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92584"/>
    <w:pPr>
      <w:keepNext/>
      <w:keepLines/>
      <w:spacing w:before="220" w:after="40"/>
      <w:outlineLvl w:val="4"/>
    </w:pPr>
    <w:rPr>
      <w:b/>
    </w:rPr>
  </w:style>
  <w:style w:type="paragraph" w:styleId="Heading6">
    <w:name w:val="heading 6"/>
    <w:basedOn w:val="Normal"/>
    <w:next w:val="Normal"/>
    <w:uiPriority w:val="9"/>
    <w:semiHidden/>
    <w:unhideWhenUsed/>
    <w:qFormat/>
    <w:rsid w:val="00B925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9258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92584"/>
    <w:pPr>
      <w:keepNext/>
      <w:keepLines/>
      <w:spacing w:before="360" w:after="80"/>
    </w:pPr>
    <w:rPr>
      <w:rFonts w:ascii="Georgia" w:eastAsia="Georgia" w:hAnsi="Georgia" w:cs="Georgia"/>
      <w:i/>
      <w:color w:val="666666"/>
      <w:sz w:val="48"/>
      <w:szCs w:val="48"/>
    </w:rPr>
  </w:style>
  <w:style w:type="table" w:customStyle="1" w:styleId="a">
    <w:basedOn w:val="TableNormal"/>
    <w:rsid w:val="00B925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925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customStyle="1" w:styleId="paragraph">
    <w:name w:val="paragraph"/>
    <w:basedOn w:val="Normal"/>
    <w:rsid w:val="003D0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9C7"/>
  </w:style>
  <w:style w:type="character" w:customStyle="1" w:styleId="eop">
    <w:name w:val="eop"/>
    <w:basedOn w:val="DefaultParagraphFont"/>
    <w:rsid w:val="003D09C7"/>
  </w:style>
  <w:style w:type="paragraph" w:styleId="BalloonText">
    <w:name w:val="Balloon Text"/>
    <w:basedOn w:val="Normal"/>
    <w:link w:val="BalloonTextChar"/>
    <w:uiPriority w:val="99"/>
    <w:semiHidden/>
    <w:unhideWhenUsed/>
    <w:rsid w:val="00F93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3B"/>
    <w:rPr>
      <w:rFonts w:ascii="Tahoma" w:hAnsi="Tahoma" w:cs="Tahoma"/>
      <w:sz w:val="16"/>
      <w:szCs w:val="16"/>
    </w:rPr>
  </w:style>
  <w:style w:type="table" w:customStyle="1" w:styleId="Table">
    <w:name w:val="Table"/>
    <w:semiHidden/>
    <w:unhideWhenUsed/>
    <w:qFormat/>
    <w:rsid w:val="008C0B2D"/>
    <w:pPr>
      <w:spacing w:after="200" w:line="240" w:lineRule="auto"/>
    </w:pPr>
    <w:rPr>
      <w:rFonts w:ascii="Aptos" w:eastAsia="Aptos" w:hAnsi="Aptos"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8C0B2D"/>
    <w:pPr>
      <w:spacing w:after="200" w:line="240" w:lineRule="auto"/>
    </w:pPr>
    <w:rPr>
      <w:rFonts w:ascii="Aptos" w:eastAsia="Aptos" w:hAnsi="Aptos"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92821821">
      <w:bodyDiv w:val="1"/>
      <w:marLeft w:val="0"/>
      <w:marRight w:val="0"/>
      <w:marTop w:val="0"/>
      <w:marBottom w:val="0"/>
      <w:divBdr>
        <w:top w:val="none" w:sz="0" w:space="0" w:color="auto"/>
        <w:left w:val="none" w:sz="0" w:space="0" w:color="auto"/>
        <w:bottom w:val="none" w:sz="0" w:space="0" w:color="auto"/>
        <w:right w:val="none" w:sz="0" w:space="0" w:color="auto"/>
      </w:divBdr>
    </w:div>
    <w:div w:id="195118472">
      <w:bodyDiv w:val="1"/>
      <w:marLeft w:val="0"/>
      <w:marRight w:val="0"/>
      <w:marTop w:val="0"/>
      <w:marBottom w:val="0"/>
      <w:divBdr>
        <w:top w:val="none" w:sz="0" w:space="0" w:color="auto"/>
        <w:left w:val="none" w:sz="0" w:space="0" w:color="auto"/>
        <w:bottom w:val="none" w:sz="0" w:space="0" w:color="auto"/>
        <w:right w:val="none" w:sz="0" w:space="0" w:color="auto"/>
      </w:divBdr>
    </w:div>
    <w:div w:id="282464234">
      <w:bodyDiv w:val="1"/>
      <w:marLeft w:val="0"/>
      <w:marRight w:val="0"/>
      <w:marTop w:val="0"/>
      <w:marBottom w:val="0"/>
      <w:divBdr>
        <w:top w:val="none" w:sz="0" w:space="0" w:color="auto"/>
        <w:left w:val="none" w:sz="0" w:space="0" w:color="auto"/>
        <w:bottom w:val="none" w:sz="0" w:space="0" w:color="auto"/>
        <w:right w:val="none" w:sz="0" w:space="0" w:color="auto"/>
      </w:divBdr>
    </w:div>
    <w:div w:id="382680691">
      <w:bodyDiv w:val="1"/>
      <w:marLeft w:val="0"/>
      <w:marRight w:val="0"/>
      <w:marTop w:val="0"/>
      <w:marBottom w:val="0"/>
      <w:divBdr>
        <w:top w:val="none" w:sz="0" w:space="0" w:color="auto"/>
        <w:left w:val="none" w:sz="0" w:space="0" w:color="auto"/>
        <w:bottom w:val="none" w:sz="0" w:space="0" w:color="auto"/>
        <w:right w:val="none" w:sz="0" w:space="0" w:color="auto"/>
      </w:divBdr>
    </w:div>
    <w:div w:id="507867706">
      <w:bodyDiv w:val="1"/>
      <w:marLeft w:val="0"/>
      <w:marRight w:val="0"/>
      <w:marTop w:val="0"/>
      <w:marBottom w:val="0"/>
      <w:divBdr>
        <w:top w:val="none" w:sz="0" w:space="0" w:color="auto"/>
        <w:left w:val="none" w:sz="0" w:space="0" w:color="auto"/>
        <w:bottom w:val="none" w:sz="0" w:space="0" w:color="auto"/>
        <w:right w:val="none" w:sz="0" w:space="0" w:color="auto"/>
      </w:divBdr>
    </w:div>
    <w:div w:id="561604146">
      <w:bodyDiv w:val="1"/>
      <w:marLeft w:val="0"/>
      <w:marRight w:val="0"/>
      <w:marTop w:val="0"/>
      <w:marBottom w:val="0"/>
      <w:divBdr>
        <w:top w:val="none" w:sz="0" w:space="0" w:color="auto"/>
        <w:left w:val="none" w:sz="0" w:space="0" w:color="auto"/>
        <w:bottom w:val="none" w:sz="0" w:space="0" w:color="auto"/>
        <w:right w:val="none" w:sz="0" w:space="0" w:color="auto"/>
      </w:divBdr>
    </w:div>
    <w:div w:id="913903819">
      <w:bodyDiv w:val="1"/>
      <w:marLeft w:val="0"/>
      <w:marRight w:val="0"/>
      <w:marTop w:val="0"/>
      <w:marBottom w:val="0"/>
      <w:divBdr>
        <w:top w:val="none" w:sz="0" w:space="0" w:color="auto"/>
        <w:left w:val="none" w:sz="0" w:space="0" w:color="auto"/>
        <w:bottom w:val="none" w:sz="0" w:space="0" w:color="auto"/>
        <w:right w:val="none" w:sz="0" w:space="0" w:color="auto"/>
      </w:divBdr>
    </w:div>
    <w:div w:id="1071582251">
      <w:bodyDiv w:val="1"/>
      <w:marLeft w:val="0"/>
      <w:marRight w:val="0"/>
      <w:marTop w:val="0"/>
      <w:marBottom w:val="0"/>
      <w:divBdr>
        <w:top w:val="none" w:sz="0" w:space="0" w:color="auto"/>
        <w:left w:val="none" w:sz="0" w:space="0" w:color="auto"/>
        <w:bottom w:val="none" w:sz="0" w:space="0" w:color="auto"/>
        <w:right w:val="none" w:sz="0" w:space="0" w:color="auto"/>
      </w:divBdr>
    </w:div>
    <w:div w:id="1234779326">
      <w:bodyDiv w:val="1"/>
      <w:marLeft w:val="0"/>
      <w:marRight w:val="0"/>
      <w:marTop w:val="0"/>
      <w:marBottom w:val="0"/>
      <w:divBdr>
        <w:top w:val="none" w:sz="0" w:space="0" w:color="auto"/>
        <w:left w:val="none" w:sz="0" w:space="0" w:color="auto"/>
        <w:bottom w:val="none" w:sz="0" w:space="0" w:color="auto"/>
        <w:right w:val="none" w:sz="0" w:space="0" w:color="auto"/>
      </w:divBdr>
    </w:div>
    <w:div w:id="1284992904">
      <w:bodyDiv w:val="1"/>
      <w:marLeft w:val="0"/>
      <w:marRight w:val="0"/>
      <w:marTop w:val="0"/>
      <w:marBottom w:val="0"/>
      <w:divBdr>
        <w:top w:val="none" w:sz="0" w:space="0" w:color="auto"/>
        <w:left w:val="none" w:sz="0" w:space="0" w:color="auto"/>
        <w:bottom w:val="none" w:sz="0" w:space="0" w:color="auto"/>
        <w:right w:val="none" w:sz="0" w:space="0" w:color="auto"/>
      </w:divBdr>
    </w:div>
    <w:div w:id="1461074506">
      <w:bodyDiv w:val="1"/>
      <w:marLeft w:val="0"/>
      <w:marRight w:val="0"/>
      <w:marTop w:val="0"/>
      <w:marBottom w:val="0"/>
      <w:divBdr>
        <w:top w:val="none" w:sz="0" w:space="0" w:color="auto"/>
        <w:left w:val="none" w:sz="0" w:space="0" w:color="auto"/>
        <w:bottom w:val="none" w:sz="0" w:space="0" w:color="auto"/>
        <w:right w:val="none" w:sz="0" w:space="0" w:color="auto"/>
      </w:divBdr>
      <w:divsChild>
        <w:div w:id="189414408">
          <w:marLeft w:val="0"/>
          <w:marRight w:val="0"/>
          <w:marTop w:val="0"/>
          <w:marBottom w:val="0"/>
          <w:divBdr>
            <w:top w:val="none" w:sz="0" w:space="0" w:color="auto"/>
            <w:left w:val="none" w:sz="0" w:space="0" w:color="auto"/>
            <w:bottom w:val="none" w:sz="0" w:space="0" w:color="auto"/>
            <w:right w:val="none" w:sz="0" w:space="0" w:color="auto"/>
          </w:divBdr>
        </w:div>
        <w:div w:id="420219361">
          <w:marLeft w:val="0"/>
          <w:marRight w:val="0"/>
          <w:marTop w:val="0"/>
          <w:marBottom w:val="0"/>
          <w:divBdr>
            <w:top w:val="none" w:sz="0" w:space="0" w:color="auto"/>
            <w:left w:val="none" w:sz="0" w:space="0" w:color="auto"/>
            <w:bottom w:val="none" w:sz="0" w:space="0" w:color="auto"/>
            <w:right w:val="none" w:sz="0" w:space="0" w:color="auto"/>
          </w:divBdr>
        </w:div>
        <w:div w:id="1936746439">
          <w:marLeft w:val="0"/>
          <w:marRight w:val="0"/>
          <w:marTop w:val="0"/>
          <w:marBottom w:val="0"/>
          <w:divBdr>
            <w:top w:val="none" w:sz="0" w:space="0" w:color="auto"/>
            <w:left w:val="none" w:sz="0" w:space="0" w:color="auto"/>
            <w:bottom w:val="none" w:sz="0" w:space="0" w:color="auto"/>
            <w:right w:val="none" w:sz="0" w:space="0" w:color="auto"/>
          </w:divBdr>
        </w:div>
        <w:div w:id="758208995">
          <w:marLeft w:val="0"/>
          <w:marRight w:val="0"/>
          <w:marTop w:val="0"/>
          <w:marBottom w:val="0"/>
          <w:divBdr>
            <w:top w:val="none" w:sz="0" w:space="0" w:color="auto"/>
            <w:left w:val="none" w:sz="0" w:space="0" w:color="auto"/>
            <w:bottom w:val="none" w:sz="0" w:space="0" w:color="auto"/>
            <w:right w:val="none" w:sz="0" w:space="0" w:color="auto"/>
          </w:divBdr>
        </w:div>
        <w:div w:id="1769501221">
          <w:marLeft w:val="0"/>
          <w:marRight w:val="0"/>
          <w:marTop w:val="0"/>
          <w:marBottom w:val="0"/>
          <w:divBdr>
            <w:top w:val="none" w:sz="0" w:space="0" w:color="auto"/>
            <w:left w:val="none" w:sz="0" w:space="0" w:color="auto"/>
            <w:bottom w:val="none" w:sz="0" w:space="0" w:color="auto"/>
            <w:right w:val="none" w:sz="0" w:space="0" w:color="auto"/>
          </w:divBdr>
        </w:div>
        <w:div w:id="2007632447">
          <w:marLeft w:val="0"/>
          <w:marRight w:val="0"/>
          <w:marTop w:val="0"/>
          <w:marBottom w:val="0"/>
          <w:divBdr>
            <w:top w:val="none" w:sz="0" w:space="0" w:color="auto"/>
            <w:left w:val="none" w:sz="0" w:space="0" w:color="auto"/>
            <w:bottom w:val="none" w:sz="0" w:space="0" w:color="auto"/>
            <w:right w:val="none" w:sz="0" w:space="0" w:color="auto"/>
          </w:divBdr>
        </w:div>
        <w:div w:id="68816321">
          <w:marLeft w:val="0"/>
          <w:marRight w:val="0"/>
          <w:marTop w:val="0"/>
          <w:marBottom w:val="0"/>
          <w:divBdr>
            <w:top w:val="none" w:sz="0" w:space="0" w:color="auto"/>
            <w:left w:val="none" w:sz="0" w:space="0" w:color="auto"/>
            <w:bottom w:val="none" w:sz="0" w:space="0" w:color="auto"/>
            <w:right w:val="none" w:sz="0" w:space="0" w:color="auto"/>
          </w:divBdr>
        </w:div>
        <w:div w:id="44763257">
          <w:marLeft w:val="0"/>
          <w:marRight w:val="0"/>
          <w:marTop w:val="0"/>
          <w:marBottom w:val="0"/>
          <w:divBdr>
            <w:top w:val="none" w:sz="0" w:space="0" w:color="auto"/>
            <w:left w:val="none" w:sz="0" w:space="0" w:color="auto"/>
            <w:bottom w:val="none" w:sz="0" w:space="0" w:color="auto"/>
            <w:right w:val="none" w:sz="0" w:space="0" w:color="auto"/>
          </w:divBdr>
        </w:div>
        <w:div w:id="471138416">
          <w:marLeft w:val="0"/>
          <w:marRight w:val="0"/>
          <w:marTop w:val="0"/>
          <w:marBottom w:val="0"/>
          <w:divBdr>
            <w:top w:val="none" w:sz="0" w:space="0" w:color="auto"/>
            <w:left w:val="none" w:sz="0" w:space="0" w:color="auto"/>
            <w:bottom w:val="none" w:sz="0" w:space="0" w:color="auto"/>
            <w:right w:val="none" w:sz="0" w:space="0" w:color="auto"/>
          </w:divBdr>
        </w:div>
        <w:div w:id="942879829">
          <w:marLeft w:val="0"/>
          <w:marRight w:val="0"/>
          <w:marTop w:val="0"/>
          <w:marBottom w:val="0"/>
          <w:divBdr>
            <w:top w:val="none" w:sz="0" w:space="0" w:color="auto"/>
            <w:left w:val="none" w:sz="0" w:space="0" w:color="auto"/>
            <w:bottom w:val="none" w:sz="0" w:space="0" w:color="auto"/>
            <w:right w:val="none" w:sz="0" w:space="0" w:color="auto"/>
          </w:divBdr>
        </w:div>
        <w:div w:id="1384331579">
          <w:marLeft w:val="0"/>
          <w:marRight w:val="0"/>
          <w:marTop w:val="0"/>
          <w:marBottom w:val="0"/>
          <w:divBdr>
            <w:top w:val="none" w:sz="0" w:space="0" w:color="auto"/>
            <w:left w:val="none" w:sz="0" w:space="0" w:color="auto"/>
            <w:bottom w:val="none" w:sz="0" w:space="0" w:color="auto"/>
            <w:right w:val="none" w:sz="0" w:space="0" w:color="auto"/>
          </w:divBdr>
        </w:div>
        <w:div w:id="224295159">
          <w:marLeft w:val="0"/>
          <w:marRight w:val="0"/>
          <w:marTop w:val="0"/>
          <w:marBottom w:val="0"/>
          <w:divBdr>
            <w:top w:val="none" w:sz="0" w:space="0" w:color="auto"/>
            <w:left w:val="none" w:sz="0" w:space="0" w:color="auto"/>
            <w:bottom w:val="none" w:sz="0" w:space="0" w:color="auto"/>
            <w:right w:val="none" w:sz="0" w:space="0" w:color="auto"/>
          </w:divBdr>
        </w:div>
        <w:div w:id="436952167">
          <w:marLeft w:val="0"/>
          <w:marRight w:val="0"/>
          <w:marTop w:val="0"/>
          <w:marBottom w:val="0"/>
          <w:divBdr>
            <w:top w:val="none" w:sz="0" w:space="0" w:color="auto"/>
            <w:left w:val="none" w:sz="0" w:space="0" w:color="auto"/>
            <w:bottom w:val="none" w:sz="0" w:space="0" w:color="auto"/>
            <w:right w:val="none" w:sz="0" w:space="0" w:color="auto"/>
          </w:divBdr>
        </w:div>
        <w:div w:id="217085351">
          <w:marLeft w:val="0"/>
          <w:marRight w:val="0"/>
          <w:marTop w:val="0"/>
          <w:marBottom w:val="0"/>
          <w:divBdr>
            <w:top w:val="none" w:sz="0" w:space="0" w:color="auto"/>
            <w:left w:val="none" w:sz="0" w:space="0" w:color="auto"/>
            <w:bottom w:val="none" w:sz="0" w:space="0" w:color="auto"/>
            <w:right w:val="none" w:sz="0" w:space="0" w:color="auto"/>
          </w:divBdr>
        </w:div>
        <w:div w:id="1389525266">
          <w:marLeft w:val="0"/>
          <w:marRight w:val="0"/>
          <w:marTop w:val="0"/>
          <w:marBottom w:val="0"/>
          <w:divBdr>
            <w:top w:val="none" w:sz="0" w:space="0" w:color="auto"/>
            <w:left w:val="none" w:sz="0" w:space="0" w:color="auto"/>
            <w:bottom w:val="none" w:sz="0" w:space="0" w:color="auto"/>
            <w:right w:val="none" w:sz="0" w:space="0" w:color="auto"/>
          </w:divBdr>
        </w:div>
        <w:div w:id="1211302530">
          <w:marLeft w:val="0"/>
          <w:marRight w:val="0"/>
          <w:marTop w:val="0"/>
          <w:marBottom w:val="0"/>
          <w:divBdr>
            <w:top w:val="none" w:sz="0" w:space="0" w:color="auto"/>
            <w:left w:val="none" w:sz="0" w:space="0" w:color="auto"/>
            <w:bottom w:val="none" w:sz="0" w:space="0" w:color="auto"/>
            <w:right w:val="none" w:sz="0" w:space="0" w:color="auto"/>
          </w:divBdr>
        </w:div>
        <w:div w:id="1213032514">
          <w:marLeft w:val="0"/>
          <w:marRight w:val="0"/>
          <w:marTop w:val="0"/>
          <w:marBottom w:val="0"/>
          <w:divBdr>
            <w:top w:val="none" w:sz="0" w:space="0" w:color="auto"/>
            <w:left w:val="none" w:sz="0" w:space="0" w:color="auto"/>
            <w:bottom w:val="none" w:sz="0" w:space="0" w:color="auto"/>
            <w:right w:val="none" w:sz="0" w:space="0" w:color="auto"/>
          </w:divBdr>
        </w:div>
        <w:div w:id="1349256715">
          <w:marLeft w:val="0"/>
          <w:marRight w:val="0"/>
          <w:marTop w:val="0"/>
          <w:marBottom w:val="0"/>
          <w:divBdr>
            <w:top w:val="none" w:sz="0" w:space="0" w:color="auto"/>
            <w:left w:val="none" w:sz="0" w:space="0" w:color="auto"/>
            <w:bottom w:val="none" w:sz="0" w:space="0" w:color="auto"/>
            <w:right w:val="none" w:sz="0" w:space="0" w:color="auto"/>
          </w:divBdr>
        </w:div>
      </w:divsChild>
    </w:div>
    <w:div w:id="1964457838">
      <w:bodyDiv w:val="1"/>
      <w:marLeft w:val="0"/>
      <w:marRight w:val="0"/>
      <w:marTop w:val="0"/>
      <w:marBottom w:val="0"/>
      <w:divBdr>
        <w:top w:val="none" w:sz="0" w:space="0" w:color="auto"/>
        <w:left w:val="none" w:sz="0" w:space="0" w:color="auto"/>
        <w:bottom w:val="none" w:sz="0" w:space="0" w:color="auto"/>
        <w:right w:val="none" w:sz="0" w:space="0" w:color="auto"/>
      </w:divBdr>
      <w:divsChild>
        <w:div w:id="1181430625">
          <w:marLeft w:val="0"/>
          <w:marRight w:val="0"/>
          <w:marTop w:val="0"/>
          <w:marBottom w:val="0"/>
          <w:divBdr>
            <w:top w:val="none" w:sz="0" w:space="0" w:color="auto"/>
            <w:left w:val="none" w:sz="0" w:space="0" w:color="auto"/>
            <w:bottom w:val="none" w:sz="0" w:space="0" w:color="auto"/>
            <w:right w:val="none" w:sz="0" w:space="0" w:color="auto"/>
          </w:divBdr>
        </w:div>
        <w:div w:id="416706570">
          <w:marLeft w:val="0"/>
          <w:marRight w:val="0"/>
          <w:marTop w:val="0"/>
          <w:marBottom w:val="0"/>
          <w:divBdr>
            <w:top w:val="none" w:sz="0" w:space="0" w:color="auto"/>
            <w:left w:val="none" w:sz="0" w:space="0" w:color="auto"/>
            <w:bottom w:val="none" w:sz="0" w:space="0" w:color="auto"/>
            <w:right w:val="none" w:sz="0" w:space="0" w:color="auto"/>
          </w:divBdr>
        </w:div>
        <w:div w:id="380905723">
          <w:marLeft w:val="0"/>
          <w:marRight w:val="0"/>
          <w:marTop w:val="0"/>
          <w:marBottom w:val="0"/>
          <w:divBdr>
            <w:top w:val="none" w:sz="0" w:space="0" w:color="auto"/>
            <w:left w:val="none" w:sz="0" w:space="0" w:color="auto"/>
            <w:bottom w:val="none" w:sz="0" w:space="0" w:color="auto"/>
            <w:right w:val="none" w:sz="0" w:space="0" w:color="auto"/>
          </w:divBdr>
        </w:div>
        <w:div w:id="1640987429">
          <w:marLeft w:val="0"/>
          <w:marRight w:val="0"/>
          <w:marTop w:val="0"/>
          <w:marBottom w:val="0"/>
          <w:divBdr>
            <w:top w:val="none" w:sz="0" w:space="0" w:color="auto"/>
            <w:left w:val="none" w:sz="0" w:space="0" w:color="auto"/>
            <w:bottom w:val="none" w:sz="0" w:space="0" w:color="auto"/>
            <w:right w:val="none" w:sz="0" w:space="0" w:color="auto"/>
          </w:divBdr>
        </w:div>
        <w:div w:id="924652314">
          <w:marLeft w:val="0"/>
          <w:marRight w:val="0"/>
          <w:marTop w:val="0"/>
          <w:marBottom w:val="0"/>
          <w:divBdr>
            <w:top w:val="none" w:sz="0" w:space="0" w:color="auto"/>
            <w:left w:val="none" w:sz="0" w:space="0" w:color="auto"/>
            <w:bottom w:val="none" w:sz="0" w:space="0" w:color="auto"/>
            <w:right w:val="none" w:sz="0" w:space="0" w:color="auto"/>
          </w:divBdr>
        </w:div>
        <w:div w:id="1808667352">
          <w:marLeft w:val="0"/>
          <w:marRight w:val="0"/>
          <w:marTop w:val="0"/>
          <w:marBottom w:val="0"/>
          <w:divBdr>
            <w:top w:val="none" w:sz="0" w:space="0" w:color="auto"/>
            <w:left w:val="none" w:sz="0" w:space="0" w:color="auto"/>
            <w:bottom w:val="none" w:sz="0" w:space="0" w:color="auto"/>
            <w:right w:val="none" w:sz="0" w:space="0" w:color="auto"/>
          </w:divBdr>
        </w:div>
        <w:div w:id="143666538">
          <w:marLeft w:val="0"/>
          <w:marRight w:val="0"/>
          <w:marTop w:val="0"/>
          <w:marBottom w:val="0"/>
          <w:divBdr>
            <w:top w:val="none" w:sz="0" w:space="0" w:color="auto"/>
            <w:left w:val="none" w:sz="0" w:space="0" w:color="auto"/>
            <w:bottom w:val="none" w:sz="0" w:space="0" w:color="auto"/>
            <w:right w:val="none" w:sz="0" w:space="0" w:color="auto"/>
          </w:divBdr>
        </w:div>
        <w:div w:id="903488962">
          <w:marLeft w:val="0"/>
          <w:marRight w:val="0"/>
          <w:marTop w:val="0"/>
          <w:marBottom w:val="0"/>
          <w:divBdr>
            <w:top w:val="none" w:sz="0" w:space="0" w:color="auto"/>
            <w:left w:val="none" w:sz="0" w:space="0" w:color="auto"/>
            <w:bottom w:val="none" w:sz="0" w:space="0" w:color="auto"/>
            <w:right w:val="none" w:sz="0" w:space="0" w:color="auto"/>
          </w:divBdr>
        </w:div>
        <w:div w:id="1858928681">
          <w:marLeft w:val="0"/>
          <w:marRight w:val="0"/>
          <w:marTop w:val="0"/>
          <w:marBottom w:val="0"/>
          <w:divBdr>
            <w:top w:val="none" w:sz="0" w:space="0" w:color="auto"/>
            <w:left w:val="none" w:sz="0" w:space="0" w:color="auto"/>
            <w:bottom w:val="none" w:sz="0" w:space="0" w:color="auto"/>
            <w:right w:val="none" w:sz="0" w:space="0" w:color="auto"/>
          </w:divBdr>
        </w:div>
        <w:div w:id="1066756954">
          <w:marLeft w:val="0"/>
          <w:marRight w:val="0"/>
          <w:marTop w:val="0"/>
          <w:marBottom w:val="0"/>
          <w:divBdr>
            <w:top w:val="none" w:sz="0" w:space="0" w:color="auto"/>
            <w:left w:val="none" w:sz="0" w:space="0" w:color="auto"/>
            <w:bottom w:val="none" w:sz="0" w:space="0" w:color="auto"/>
            <w:right w:val="none" w:sz="0" w:space="0" w:color="auto"/>
          </w:divBdr>
        </w:div>
        <w:div w:id="531921027">
          <w:marLeft w:val="0"/>
          <w:marRight w:val="0"/>
          <w:marTop w:val="0"/>
          <w:marBottom w:val="0"/>
          <w:divBdr>
            <w:top w:val="none" w:sz="0" w:space="0" w:color="auto"/>
            <w:left w:val="none" w:sz="0" w:space="0" w:color="auto"/>
            <w:bottom w:val="none" w:sz="0" w:space="0" w:color="auto"/>
            <w:right w:val="none" w:sz="0" w:space="0" w:color="auto"/>
          </w:divBdr>
        </w:div>
        <w:div w:id="868302451">
          <w:marLeft w:val="0"/>
          <w:marRight w:val="0"/>
          <w:marTop w:val="0"/>
          <w:marBottom w:val="0"/>
          <w:divBdr>
            <w:top w:val="none" w:sz="0" w:space="0" w:color="auto"/>
            <w:left w:val="none" w:sz="0" w:space="0" w:color="auto"/>
            <w:bottom w:val="none" w:sz="0" w:space="0" w:color="auto"/>
            <w:right w:val="none" w:sz="0" w:space="0" w:color="auto"/>
          </w:divBdr>
        </w:div>
        <w:div w:id="302469639">
          <w:marLeft w:val="0"/>
          <w:marRight w:val="0"/>
          <w:marTop w:val="0"/>
          <w:marBottom w:val="0"/>
          <w:divBdr>
            <w:top w:val="none" w:sz="0" w:space="0" w:color="auto"/>
            <w:left w:val="none" w:sz="0" w:space="0" w:color="auto"/>
            <w:bottom w:val="none" w:sz="0" w:space="0" w:color="auto"/>
            <w:right w:val="none" w:sz="0" w:space="0" w:color="auto"/>
          </w:divBdr>
        </w:div>
        <w:div w:id="527334623">
          <w:marLeft w:val="0"/>
          <w:marRight w:val="0"/>
          <w:marTop w:val="0"/>
          <w:marBottom w:val="0"/>
          <w:divBdr>
            <w:top w:val="none" w:sz="0" w:space="0" w:color="auto"/>
            <w:left w:val="none" w:sz="0" w:space="0" w:color="auto"/>
            <w:bottom w:val="none" w:sz="0" w:space="0" w:color="auto"/>
            <w:right w:val="none" w:sz="0" w:space="0" w:color="auto"/>
          </w:divBdr>
        </w:div>
        <w:div w:id="822701622">
          <w:marLeft w:val="0"/>
          <w:marRight w:val="0"/>
          <w:marTop w:val="0"/>
          <w:marBottom w:val="0"/>
          <w:divBdr>
            <w:top w:val="none" w:sz="0" w:space="0" w:color="auto"/>
            <w:left w:val="none" w:sz="0" w:space="0" w:color="auto"/>
            <w:bottom w:val="none" w:sz="0" w:space="0" w:color="auto"/>
            <w:right w:val="none" w:sz="0" w:space="0" w:color="auto"/>
          </w:divBdr>
        </w:div>
        <w:div w:id="1383596757">
          <w:marLeft w:val="0"/>
          <w:marRight w:val="0"/>
          <w:marTop w:val="0"/>
          <w:marBottom w:val="0"/>
          <w:divBdr>
            <w:top w:val="none" w:sz="0" w:space="0" w:color="auto"/>
            <w:left w:val="none" w:sz="0" w:space="0" w:color="auto"/>
            <w:bottom w:val="none" w:sz="0" w:space="0" w:color="auto"/>
            <w:right w:val="none" w:sz="0" w:space="0" w:color="auto"/>
          </w:divBdr>
        </w:div>
        <w:div w:id="1053626171">
          <w:marLeft w:val="0"/>
          <w:marRight w:val="0"/>
          <w:marTop w:val="0"/>
          <w:marBottom w:val="0"/>
          <w:divBdr>
            <w:top w:val="none" w:sz="0" w:space="0" w:color="auto"/>
            <w:left w:val="none" w:sz="0" w:space="0" w:color="auto"/>
            <w:bottom w:val="none" w:sz="0" w:space="0" w:color="auto"/>
            <w:right w:val="none" w:sz="0" w:space="0" w:color="auto"/>
          </w:divBdr>
        </w:div>
        <w:div w:id="1500922314">
          <w:marLeft w:val="0"/>
          <w:marRight w:val="0"/>
          <w:marTop w:val="0"/>
          <w:marBottom w:val="0"/>
          <w:divBdr>
            <w:top w:val="none" w:sz="0" w:space="0" w:color="auto"/>
            <w:left w:val="none" w:sz="0" w:space="0" w:color="auto"/>
            <w:bottom w:val="none" w:sz="0" w:space="0" w:color="auto"/>
            <w:right w:val="none" w:sz="0" w:space="0" w:color="auto"/>
          </w:divBdr>
        </w:div>
      </w:divsChild>
    </w:div>
    <w:div w:id="213047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40</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cp:lastPrinted>2025-04-24T09:53:00Z</cp:lastPrinted>
  <dcterms:created xsi:type="dcterms:W3CDTF">2025-04-24T09:44:00Z</dcterms:created>
  <dcterms:modified xsi:type="dcterms:W3CDTF">2025-06-12T22:44:00Z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