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4"/>
        <w:gridCol w:w="5512"/>
      </w:tblGrid>
      <w:tr w:rsidR="00021DD2" w:rsidRPr="006322A7" w14:paraId="12FF3FA0" w14:textId="77777777" w:rsidTr="006322A7">
        <w:trPr>
          <w:jc w:val="center"/>
        </w:trPr>
        <w:tc>
          <w:tcPr>
            <w:tcW w:w="1943" w:type="pct"/>
          </w:tcPr>
          <w:p w14:paraId="4FA30DCE" w14:textId="0A34150C" w:rsidR="00021DD2" w:rsidRPr="006322A7" w:rsidRDefault="006322A7" w:rsidP="006322A7">
            <w:pPr>
              <w:spacing w:line="360" w:lineRule="auto"/>
              <w:jc w:val="both"/>
              <w:rPr>
                <w:b/>
                <w:sz w:val="24"/>
                <w:szCs w:val="24"/>
              </w:rPr>
            </w:pPr>
            <w:r w:rsidRPr="006322A7">
              <w:rPr>
                <w:b/>
                <w:sz w:val="24"/>
                <w:szCs w:val="24"/>
              </w:rPr>
              <w:t>SESSION</w:t>
            </w:r>
          </w:p>
        </w:tc>
        <w:tc>
          <w:tcPr>
            <w:tcW w:w="3057" w:type="pct"/>
          </w:tcPr>
          <w:p w14:paraId="3D557892" w14:textId="3551FEB4" w:rsidR="00021DD2" w:rsidRPr="006322A7" w:rsidRDefault="006322A7" w:rsidP="006322A7">
            <w:pPr>
              <w:spacing w:line="360" w:lineRule="auto"/>
              <w:jc w:val="both"/>
              <w:rPr>
                <w:b/>
                <w:sz w:val="24"/>
                <w:szCs w:val="24"/>
              </w:rPr>
            </w:pPr>
            <w:r w:rsidRPr="006322A7">
              <w:rPr>
                <w:b/>
                <w:sz w:val="24"/>
                <w:szCs w:val="24"/>
              </w:rPr>
              <w:t>FEB-MARCH 2025</w:t>
            </w:r>
          </w:p>
        </w:tc>
      </w:tr>
      <w:tr w:rsidR="003A1721" w:rsidRPr="006322A7" w14:paraId="39C01DE2" w14:textId="77777777" w:rsidTr="006322A7">
        <w:trPr>
          <w:jc w:val="center"/>
        </w:trPr>
        <w:tc>
          <w:tcPr>
            <w:tcW w:w="1943" w:type="pct"/>
          </w:tcPr>
          <w:p w14:paraId="653894A5" w14:textId="47C8F4FF" w:rsidR="003A1721" w:rsidRPr="006322A7" w:rsidRDefault="006322A7" w:rsidP="006322A7">
            <w:pPr>
              <w:spacing w:line="360" w:lineRule="auto"/>
              <w:jc w:val="both"/>
              <w:rPr>
                <w:b/>
                <w:sz w:val="24"/>
                <w:szCs w:val="24"/>
              </w:rPr>
            </w:pPr>
            <w:r w:rsidRPr="006322A7">
              <w:rPr>
                <w:b/>
                <w:sz w:val="24"/>
                <w:szCs w:val="24"/>
              </w:rPr>
              <w:t>PROGRAM</w:t>
            </w:r>
          </w:p>
        </w:tc>
        <w:tc>
          <w:tcPr>
            <w:tcW w:w="3057" w:type="pct"/>
          </w:tcPr>
          <w:p w14:paraId="46AB6EA2" w14:textId="0FBFCC8F" w:rsidR="003A1721" w:rsidRPr="006322A7" w:rsidRDefault="006322A7" w:rsidP="006322A7">
            <w:pPr>
              <w:spacing w:line="360" w:lineRule="auto"/>
              <w:jc w:val="both"/>
              <w:rPr>
                <w:b/>
                <w:sz w:val="24"/>
                <w:szCs w:val="24"/>
              </w:rPr>
            </w:pPr>
            <w:r w:rsidRPr="006322A7">
              <w:rPr>
                <w:b/>
                <w:sz w:val="24"/>
                <w:szCs w:val="24"/>
              </w:rPr>
              <w:t>MASTER OF BUSINESS ADMINISTRATION (MBA)</w:t>
            </w:r>
          </w:p>
        </w:tc>
      </w:tr>
      <w:tr w:rsidR="003A1721" w:rsidRPr="006322A7" w14:paraId="45290886" w14:textId="77777777" w:rsidTr="006322A7">
        <w:trPr>
          <w:jc w:val="center"/>
        </w:trPr>
        <w:tc>
          <w:tcPr>
            <w:tcW w:w="1943" w:type="pct"/>
          </w:tcPr>
          <w:p w14:paraId="1A47498F" w14:textId="30ED23AB" w:rsidR="003A1721" w:rsidRPr="006322A7" w:rsidRDefault="006322A7" w:rsidP="006322A7">
            <w:pPr>
              <w:spacing w:line="360" w:lineRule="auto"/>
              <w:jc w:val="both"/>
              <w:rPr>
                <w:b/>
                <w:sz w:val="24"/>
                <w:szCs w:val="24"/>
              </w:rPr>
            </w:pPr>
            <w:r w:rsidRPr="006322A7">
              <w:rPr>
                <w:b/>
                <w:sz w:val="24"/>
                <w:szCs w:val="24"/>
              </w:rPr>
              <w:t>SEMESTER</w:t>
            </w:r>
          </w:p>
        </w:tc>
        <w:tc>
          <w:tcPr>
            <w:tcW w:w="3057" w:type="pct"/>
          </w:tcPr>
          <w:p w14:paraId="3BDDC05A" w14:textId="6126AAF2" w:rsidR="003A1721" w:rsidRPr="006322A7" w:rsidRDefault="006322A7" w:rsidP="006322A7">
            <w:pPr>
              <w:spacing w:line="360" w:lineRule="auto"/>
              <w:jc w:val="both"/>
              <w:rPr>
                <w:b/>
                <w:sz w:val="24"/>
                <w:szCs w:val="24"/>
              </w:rPr>
            </w:pPr>
            <w:r w:rsidRPr="006322A7">
              <w:rPr>
                <w:b/>
                <w:sz w:val="24"/>
                <w:szCs w:val="24"/>
              </w:rPr>
              <w:t>III</w:t>
            </w:r>
          </w:p>
        </w:tc>
      </w:tr>
      <w:tr w:rsidR="003A1721" w:rsidRPr="006322A7" w14:paraId="5FC21E5B" w14:textId="77777777" w:rsidTr="006322A7">
        <w:trPr>
          <w:jc w:val="center"/>
        </w:trPr>
        <w:tc>
          <w:tcPr>
            <w:tcW w:w="1943" w:type="pct"/>
          </w:tcPr>
          <w:p w14:paraId="5238CFA0" w14:textId="741D87E1" w:rsidR="003A1721" w:rsidRPr="006322A7" w:rsidRDefault="006322A7" w:rsidP="006322A7">
            <w:pPr>
              <w:spacing w:line="360" w:lineRule="auto"/>
              <w:jc w:val="both"/>
              <w:rPr>
                <w:b/>
                <w:sz w:val="24"/>
                <w:szCs w:val="24"/>
              </w:rPr>
            </w:pPr>
            <w:r w:rsidRPr="006322A7">
              <w:rPr>
                <w:b/>
                <w:sz w:val="24"/>
                <w:szCs w:val="24"/>
              </w:rPr>
              <w:t>COURSE CODE &amp; NAME</w:t>
            </w:r>
          </w:p>
        </w:tc>
        <w:tc>
          <w:tcPr>
            <w:tcW w:w="3057" w:type="pct"/>
          </w:tcPr>
          <w:p w14:paraId="688209E2" w14:textId="47EDA0D7" w:rsidR="003A1721" w:rsidRPr="006322A7" w:rsidRDefault="006322A7" w:rsidP="006322A7">
            <w:pPr>
              <w:spacing w:line="360" w:lineRule="auto"/>
              <w:jc w:val="both"/>
              <w:rPr>
                <w:b/>
                <w:sz w:val="24"/>
                <w:szCs w:val="24"/>
              </w:rPr>
            </w:pPr>
            <w:r w:rsidRPr="006322A7">
              <w:rPr>
                <w:b/>
                <w:sz w:val="24"/>
                <w:szCs w:val="24"/>
              </w:rPr>
              <w:t>DFIN304 INTERNAL AUDIT AND CONTROL</w:t>
            </w:r>
          </w:p>
        </w:tc>
      </w:tr>
      <w:tr w:rsidR="003A1721" w:rsidRPr="006322A7" w14:paraId="482A2EBE" w14:textId="77777777" w:rsidTr="006322A7">
        <w:trPr>
          <w:jc w:val="center"/>
        </w:trPr>
        <w:tc>
          <w:tcPr>
            <w:tcW w:w="1943" w:type="pct"/>
          </w:tcPr>
          <w:p w14:paraId="3513818B" w14:textId="71FB2D69" w:rsidR="003A1721" w:rsidRPr="006322A7" w:rsidRDefault="003A1721" w:rsidP="006322A7">
            <w:pPr>
              <w:spacing w:line="360" w:lineRule="auto"/>
              <w:jc w:val="both"/>
              <w:rPr>
                <w:b/>
                <w:sz w:val="24"/>
                <w:szCs w:val="24"/>
              </w:rPr>
            </w:pPr>
          </w:p>
        </w:tc>
        <w:tc>
          <w:tcPr>
            <w:tcW w:w="3057" w:type="pct"/>
          </w:tcPr>
          <w:p w14:paraId="485D8E55" w14:textId="3A8A9822" w:rsidR="003A1721" w:rsidRPr="006322A7" w:rsidRDefault="003A1721" w:rsidP="006322A7">
            <w:pPr>
              <w:spacing w:line="360" w:lineRule="auto"/>
              <w:jc w:val="both"/>
              <w:rPr>
                <w:b/>
                <w:sz w:val="24"/>
                <w:szCs w:val="24"/>
              </w:rPr>
            </w:pPr>
          </w:p>
        </w:tc>
      </w:tr>
      <w:tr w:rsidR="003A1721" w:rsidRPr="006322A7" w14:paraId="68B78FE1" w14:textId="77777777" w:rsidTr="006322A7">
        <w:trPr>
          <w:jc w:val="center"/>
        </w:trPr>
        <w:tc>
          <w:tcPr>
            <w:tcW w:w="1943" w:type="pct"/>
          </w:tcPr>
          <w:p w14:paraId="154FFD07" w14:textId="3791A3B9" w:rsidR="003A1721" w:rsidRPr="006322A7" w:rsidRDefault="003A1721" w:rsidP="006322A7">
            <w:pPr>
              <w:spacing w:line="360" w:lineRule="auto"/>
              <w:jc w:val="both"/>
              <w:rPr>
                <w:b/>
                <w:sz w:val="24"/>
                <w:szCs w:val="24"/>
              </w:rPr>
            </w:pPr>
          </w:p>
        </w:tc>
        <w:tc>
          <w:tcPr>
            <w:tcW w:w="3057" w:type="pct"/>
          </w:tcPr>
          <w:p w14:paraId="06A450AC" w14:textId="4C0A05E9" w:rsidR="003A1721" w:rsidRPr="006322A7" w:rsidRDefault="003A1721" w:rsidP="006322A7">
            <w:pPr>
              <w:spacing w:line="360" w:lineRule="auto"/>
              <w:jc w:val="both"/>
              <w:rPr>
                <w:b/>
                <w:sz w:val="24"/>
                <w:szCs w:val="24"/>
              </w:rPr>
            </w:pPr>
          </w:p>
        </w:tc>
      </w:tr>
    </w:tbl>
    <w:p w14:paraId="68EAAEFE" w14:textId="77777777" w:rsidR="008A05BE" w:rsidRPr="006322A7" w:rsidRDefault="008A05BE" w:rsidP="006322A7">
      <w:pPr>
        <w:spacing w:line="360" w:lineRule="auto"/>
        <w:jc w:val="both"/>
        <w:rPr>
          <w:rFonts w:ascii="Times New Roman" w:hAnsi="Times New Roman" w:cs="Times New Roman"/>
          <w:b/>
          <w:sz w:val="24"/>
          <w:szCs w:val="24"/>
        </w:rPr>
      </w:pPr>
    </w:p>
    <w:p w14:paraId="368137B1" w14:textId="77777777" w:rsidR="006322A7" w:rsidRPr="006322A7" w:rsidRDefault="006322A7" w:rsidP="006322A7">
      <w:pPr>
        <w:spacing w:line="360" w:lineRule="auto"/>
        <w:jc w:val="both"/>
        <w:rPr>
          <w:rFonts w:ascii="Times New Roman" w:hAnsi="Times New Roman" w:cs="Times New Roman"/>
          <w:b/>
          <w:sz w:val="24"/>
          <w:szCs w:val="24"/>
        </w:rPr>
      </w:pPr>
    </w:p>
    <w:p w14:paraId="164244F7" w14:textId="54FB65A4" w:rsidR="006322A7" w:rsidRPr="006322A7" w:rsidRDefault="006322A7" w:rsidP="006322A7">
      <w:pPr>
        <w:spacing w:line="360" w:lineRule="auto"/>
        <w:jc w:val="center"/>
        <w:rPr>
          <w:rFonts w:ascii="Times New Roman" w:hAnsi="Times New Roman" w:cs="Times New Roman"/>
          <w:b/>
          <w:sz w:val="24"/>
          <w:szCs w:val="24"/>
        </w:rPr>
      </w:pPr>
      <w:r w:rsidRPr="006322A7">
        <w:rPr>
          <w:rFonts w:ascii="Times New Roman" w:hAnsi="Times New Roman" w:cs="Times New Roman"/>
          <w:b/>
          <w:sz w:val="24"/>
          <w:szCs w:val="24"/>
        </w:rPr>
        <w:t>Assignment Set – 1</w:t>
      </w:r>
    </w:p>
    <w:p w14:paraId="36663172" w14:textId="69A790EF" w:rsidR="006322A7" w:rsidRDefault="006322A7" w:rsidP="006322A7">
      <w:pPr>
        <w:spacing w:line="360" w:lineRule="auto"/>
        <w:jc w:val="both"/>
        <w:rPr>
          <w:rFonts w:ascii="Times New Roman" w:hAnsi="Times New Roman" w:cs="Times New Roman"/>
          <w:sz w:val="24"/>
          <w:szCs w:val="24"/>
        </w:rPr>
      </w:pPr>
    </w:p>
    <w:p w14:paraId="5C700214" w14:textId="77777777" w:rsidR="006322A7" w:rsidRPr="006322A7" w:rsidRDefault="006322A7" w:rsidP="006322A7">
      <w:pPr>
        <w:spacing w:line="360" w:lineRule="auto"/>
        <w:jc w:val="both"/>
        <w:rPr>
          <w:rFonts w:ascii="Times New Roman" w:hAnsi="Times New Roman" w:cs="Times New Roman"/>
          <w:sz w:val="24"/>
          <w:szCs w:val="24"/>
        </w:rPr>
      </w:pPr>
    </w:p>
    <w:p w14:paraId="7FA94080" w14:textId="75BF9F91" w:rsidR="006322A7" w:rsidRPr="006322A7" w:rsidRDefault="006322A7" w:rsidP="006322A7">
      <w:pPr>
        <w:spacing w:line="360" w:lineRule="auto"/>
        <w:jc w:val="both"/>
        <w:rPr>
          <w:rFonts w:ascii="Times New Roman" w:hAnsi="Times New Roman" w:cs="Times New Roman"/>
          <w:b/>
          <w:sz w:val="24"/>
          <w:szCs w:val="24"/>
        </w:rPr>
      </w:pPr>
      <w:r w:rsidRPr="006322A7">
        <w:rPr>
          <w:rFonts w:ascii="Times New Roman" w:hAnsi="Times New Roman" w:cs="Times New Roman"/>
          <w:b/>
          <w:sz w:val="24"/>
          <w:szCs w:val="24"/>
        </w:rPr>
        <w:t>1. Elaborate the mandatory guidance prescribed by IPPF.  10</w:t>
      </w:r>
      <w:r w:rsidRPr="006322A7">
        <w:rPr>
          <w:rFonts w:ascii="Times New Roman" w:hAnsi="Times New Roman" w:cs="Times New Roman"/>
          <w:b/>
          <w:sz w:val="24"/>
          <w:szCs w:val="24"/>
        </w:rPr>
        <w:tab/>
      </w:r>
    </w:p>
    <w:p w14:paraId="426E60D9" w14:textId="104CB424" w:rsidR="006322A7" w:rsidRPr="006322A7" w:rsidRDefault="006322A7" w:rsidP="006322A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1910E652" w14:textId="4B7E2C18" w:rsidR="006322A7" w:rsidRPr="006322A7" w:rsidRDefault="006322A7" w:rsidP="006322A7">
      <w:pPr>
        <w:spacing w:line="360" w:lineRule="auto"/>
        <w:jc w:val="both"/>
        <w:rPr>
          <w:rFonts w:ascii="Times New Roman" w:hAnsi="Times New Roman" w:cs="Times New Roman"/>
          <w:b/>
          <w:bCs/>
          <w:sz w:val="24"/>
          <w:szCs w:val="24"/>
        </w:rPr>
      </w:pPr>
      <w:r w:rsidRPr="006322A7">
        <w:rPr>
          <w:rFonts w:ascii="Times New Roman" w:hAnsi="Times New Roman" w:cs="Times New Roman"/>
          <w:b/>
          <w:bCs/>
          <w:sz w:val="24"/>
          <w:szCs w:val="24"/>
        </w:rPr>
        <w:t>Introduction to IPPF and Its Framework</w:t>
      </w:r>
    </w:p>
    <w:p w14:paraId="38609874" w14:textId="77777777" w:rsidR="006322A7" w:rsidRPr="006322A7" w:rsidRDefault="006322A7" w:rsidP="006322A7">
      <w:pPr>
        <w:spacing w:line="360" w:lineRule="auto"/>
        <w:jc w:val="both"/>
        <w:rPr>
          <w:rFonts w:ascii="Times New Roman" w:hAnsi="Times New Roman" w:cs="Times New Roman"/>
          <w:sz w:val="24"/>
          <w:szCs w:val="24"/>
        </w:rPr>
      </w:pPr>
      <w:r w:rsidRPr="006322A7">
        <w:rPr>
          <w:rFonts w:ascii="Times New Roman" w:hAnsi="Times New Roman" w:cs="Times New Roman"/>
          <w:sz w:val="24"/>
          <w:szCs w:val="24"/>
        </w:rPr>
        <w:t xml:space="preserve">The </w:t>
      </w:r>
      <w:r w:rsidRPr="006322A7">
        <w:rPr>
          <w:rFonts w:ascii="Times New Roman" w:hAnsi="Times New Roman" w:cs="Times New Roman"/>
          <w:bCs/>
          <w:sz w:val="24"/>
          <w:szCs w:val="24"/>
        </w:rPr>
        <w:t>International Professional Practices Framework (IPPF)</w:t>
      </w:r>
      <w:r w:rsidRPr="006322A7">
        <w:rPr>
          <w:rFonts w:ascii="Times New Roman" w:hAnsi="Times New Roman" w:cs="Times New Roman"/>
          <w:sz w:val="24"/>
          <w:szCs w:val="24"/>
        </w:rPr>
        <w:t xml:space="preserve"> is the guiding structure issued by </w:t>
      </w:r>
      <w:r w:rsidRPr="006322A7">
        <w:rPr>
          <w:rFonts w:ascii="Times New Roman" w:hAnsi="Times New Roman" w:cs="Times New Roman"/>
          <w:bCs/>
          <w:sz w:val="24"/>
          <w:szCs w:val="24"/>
        </w:rPr>
        <w:t>The Institute of Internal Auditors (IIA)</w:t>
      </w:r>
      <w:r w:rsidRPr="006322A7">
        <w:rPr>
          <w:rFonts w:ascii="Times New Roman" w:hAnsi="Times New Roman" w:cs="Times New Roman"/>
          <w:sz w:val="24"/>
          <w:szCs w:val="24"/>
        </w:rPr>
        <w:t xml:space="preserve"> for internal audit professionals globally. It provides a comprehensive framework that outlines the professional standards and ethical expectations that internal auditors must follow. The IPPF comprises both </w:t>
      </w:r>
      <w:r w:rsidRPr="006322A7">
        <w:rPr>
          <w:rFonts w:ascii="Times New Roman" w:hAnsi="Times New Roman" w:cs="Times New Roman"/>
          <w:bCs/>
          <w:sz w:val="24"/>
          <w:szCs w:val="24"/>
        </w:rPr>
        <w:t>mandatory</w:t>
      </w:r>
      <w:r w:rsidRPr="006322A7">
        <w:rPr>
          <w:rFonts w:ascii="Times New Roman" w:hAnsi="Times New Roman" w:cs="Times New Roman"/>
          <w:sz w:val="24"/>
          <w:szCs w:val="24"/>
        </w:rPr>
        <w:t xml:space="preserve"> and </w:t>
      </w:r>
      <w:r w:rsidRPr="006322A7">
        <w:rPr>
          <w:rFonts w:ascii="Times New Roman" w:hAnsi="Times New Roman" w:cs="Times New Roman"/>
          <w:bCs/>
          <w:sz w:val="24"/>
          <w:szCs w:val="24"/>
        </w:rPr>
        <w:t>recommended</w:t>
      </w:r>
      <w:r w:rsidRPr="006322A7">
        <w:rPr>
          <w:rFonts w:ascii="Times New Roman" w:hAnsi="Times New Roman" w:cs="Times New Roman"/>
          <w:sz w:val="24"/>
          <w:szCs w:val="24"/>
        </w:rPr>
        <w:t xml:space="preserve"> guidance, but the </w:t>
      </w:r>
      <w:r w:rsidRPr="006322A7">
        <w:rPr>
          <w:rFonts w:ascii="Times New Roman" w:hAnsi="Times New Roman" w:cs="Times New Roman"/>
          <w:bCs/>
          <w:sz w:val="24"/>
          <w:szCs w:val="24"/>
        </w:rPr>
        <w:t>mandatory elements</w:t>
      </w:r>
      <w:r w:rsidRPr="006322A7">
        <w:rPr>
          <w:rFonts w:ascii="Times New Roman" w:hAnsi="Times New Roman" w:cs="Times New Roman"/>
          <w:sz w:val="24"/>
          <w:szCs w:val="24"/>
        </w:rPr>
        <w:t xml:space="preserve"> form the core foundation of internal auditing practice worldwide.</w:t>
      </w:r>
    </w:p>
    <w:p w14:paraId="6CC56A9C" w14:textId="77777777" w:rsidR="006322A7" w:rsidRPr="006322A7" w:rsidRDefault="006322A7" w:rsidP="006322A7">
      <w:pPr>
        <w:spacing w:line="360" w:lineRule="auto"/>
        <w:jc w:val="both"/>
        <w:rPr>
          <w:rFonts w:ascii="Times New Roman" w:hAnsi="Times New Roman" w:cs="Times New Roman"/>
          <w:b/>
          <w:bCs/>
          <w:sz w:val="24"/>
          <w:szCs w:val="24"/>
        </w:rPr>
      </w:pPr>
      <w:r w:rsidRPr="006322A7">
        <w:rPr>
          <w:rFonts w:ascii="Times New Roman" w:hAnsi="Times New Roman" w:cs="Times New Roman"/>
          <w:b/>
          <w:bCs/>
          <w:sz w:val="24"/>
          <w:szCs w:val="24"/>
        </w:rPr>
        <w:t>Mandatory Elements of IPPF</w:t>
      </w:r>
    </w:p>
    <w:p w14:paraId="28259397" w14:textId="57FC0B26" w:rsidR="006322A7" w:rsidRDefault="006322A7" w:rsidP="00CF6C60">
      <w:pPr>
        <w:spacing w:line="360" w:lineRule="auto"/>
        <w:jc w:val="both"/>
        <w:rPr>
          <w:rFonts w:ascii="Times New Roman" w:hAnsi="Times New Roman" w:cs="Times New Roman"/>
          <w:bCs/>
          <w:sz w:val="24"/>
          <w:szCs w:val="24"/>
        </w:rPr>
      </w:pPr>
      <w:r w:rsidRPr="006322A7">
        <w:rPr>
          <w:rFonts w:ascii="Times New Roman" w:hAnsi="Times New Roman" w:cs="Times New Roman"/>
          <w:sz w:val="24"/>
          <w:szCs w:val="24"/>
        </w:rPr>
        <w:t xml:space="preserve">The mandatory guidance of the IPPF includes four key components: </w:t>
      </w:r>
      <w:proofErr w:type="gramStart"/>
      <w:r w:rsidRPr="006322A7">
        <w:rPr>
          <w:rFonts w:ascii="Times New Roman" w:hAnsi="Times New Roman" w:cs="Times New Roman"/>
          <w:sz w:val="24"/>
          <w:szCs w:val="24"/>
        </w:rPr>
        <w:t>the</w:t>
      </w:r>
      <w:proofErr w:type="gramEnd"/>
      <w:r w:rsidRPr="006322A7">
        <w:rPr>
          <w:rFonts w:ascii="Times New Roman" w:hAnsi="Times New Roman" w:cs="Times New Roman"/>
          <w:sz w:val="24"/>
          <w:szCs w:val="24"/>
        </w:rPr>
        <w:t xml:space="preserve"> </w:t>
      </w:r>
      <w:r w:rsidRPr="006322A7">
        <w:rPr>
          <w:rFonts w:ascii="Times New Roman" w:hAnsi="Times New Roman" w:cs="Times New Roman"/>
          <w:bCs/>
          <w:sz w:val="24"/>
          <w:szCs w:val="24"/>
        </w:rPr>
        <w:t xml:space="preserve">Core Principles for the </w:t>
      </w:r>
    </w:p>
    <w:p w14:paraId="10176726" w14:textId="77777777" w:rsidR="00CF6C60" w:rsidRDefault="00CF6C60" w:rsidP="00CF6C60">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6CDCE7F5" w14:textId="77777777" w:rsidR="00CF6C60" w:rsidRDefault="00CF6C60" w:rsidP="00CF6C60">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71BB82F5" w14:textId="77777777" w:rsidR="00CF6C60" w:rsidRDefault="00CF6C60" w:rsidP="00CF6C60">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419BF301" w14:textId="77777777" w:rsidR="00CF6C60" w:rsidRDefault="00CF6C60" w:rsidP="00CF6C60">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16C64CE6" w14:textId="77777777" w:rsidR="00CF6C60" w:rsidRDefault="00CF6C60" w:rsidP="00CF6C60">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5080DDBC" w14:textId="77777777" w:rsidR="00CF6C60" w:rsidRDefault="00CF6C60" w:rsidP="00CF6C60">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7AC74864" w14:textId="77777777" w:rsidR="00CF6C60" w:rsidRDefault="00CF6C60" w:rsidP="00CF6C60">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4A310F07" w14:textId="77777777" w:rsidR="00CF6C60" w:rsidRDefault="00CF6C60" w:rsidP="00CF6C60">
      <w:pPr>
        <w:spacing w:before="240" w:after="240" w:line="240" w:lineRule="auto"/>
        <w:jc w:val="center"/>
        <w:rPr>
          <w:rFonts w:ascii="Georgia" w:hAnsi="Georgia"/>
          <w:b/>
          <w:sz w:val="32"/>
          <w:szCs w:val="32"/>
        </w:rPr>
      </w:pPr>
      <w:r>
        <w:rPr>
          <w:rFonts w:ascii="Georgia" w:hAnsi="Georgia"/>
          <w:b/>
          <w:sz w:val="32"/>
          <w:szCs w:val="32"/>
        </w:rPr>
        <w:t>OR</w:t>
      </w:r>
    </w:p>
    <w:p w14:paraId="571A4C32" w14:textId="77777777" w:rsidR="00CF6C60" w:rsidRDefault="00CF6C60" w:rsidP="00CF6C60">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26E9ED09" w14:textId="77777777" w:rsidR="00CF6C60" w:rsidRDefault="00CF6C60" w:rsidP="00CF6C60">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7B448E63" w14:textId="77777777" w:rsidR="00CF6C60" w:rsidRPr="006322A7" w:rsidRDefault="00CF6C60" w:rsidP="00CF6C60">
      <w:pPr>
        <w:spacing w:line="360" w:lineRule="auto"/>
        <w:jc w:val="both"/>
        <w:rPr>
          <w:rFonts w:ascii="Times New Roman" w:hAnsi="Times New Roman" w:cs="Times New Roman"/>
          <w:sz w:val="24"/>
          <w:szCs w:val="24"/>
        </w:rPr>
      </w:pPr>
    </w:p>
    <w:p w14:paraId="0F5E25FF" w14:textId="29E45F63" w:rsidR="006322A7" w:rsidRPr="006322A7" w:rsidRDefault="006322A7" w:rsidP="006322A7">
      <w:pPr>
        <w:spacing w:line="360" w:lineRule="auto"/>
        <w:jc w:val="both"/>
        <w:rPr>
          <w:rFonts w:ascii="Times New Roman" w:hAnsi="Times New Roman" w:cs="Times New Roman"/>
          <w:sz w:val="24"/>
          <w:szCs w:val="24"/>
        </w:rPr>
      </w:pPr>
    </w:p>
    <w:p w14:paraId="392C11D6" w14:textId="77777777" w:rsidR="006322A7" w:rsidRPr="006322A7" w:rsidRDefault="006322A7" w:rsidP="006322A7">
      <w:pPr>
        <w:spacing w:line="360" w:lineRule="auto"/>
        <w:jc w:val="both"/>
        <w:rPr>
          <w:rFonts w:ascii="Times New Roman" w:hAnsi="Times New Roman" w:cs="Times New Roman"/>
          <w:sz w:val="24"/>
          <w:szCs w:val="24"/>
        </w:rPr>
      </w:pPr>
    </w:p>
    <w:p w14:paraId="449BDC86" w14:textId="6AB51369" w:rsidR="006322A7" w:rsidRPr="006322A7" w:rsidRDefault="006322A7" w:rsidP="006322A7">
      <w:pPr>
        <w:spacing w:line="360" w:lineRule="auto"/>
        <w:jc w:val="both"/>
        <w:rPr>
          <w:rFonts w:ascii="Times New Roman" w:hAnsi="Times New Roman" w:cs="Times New Roman"/>
          <w:b/>
          <w:sz w:val="24"/>
          <w:szCs w:val="24"/>
        </w:rPr>
      </w:pPr>
      <w:r w:rsidRPr="006322A7">
        <w:rPr>
          <w:rFonts w:ascii="Times New Roman" w:hAnsi="Times New Roman" w:cs="Times New Roman"/>
          <w:b/>
          <w:sz w:val="24"/>
          <w:szCs w:val="24"/>
        </w:rPr>
        <w:t>2. Describe Internal audit plan. 10</w:t>
      </w:r>
      <w:r w:rsidRPr="006322A7">
        <w:rPr>
          <w:rFonts w:ascii="Times New Roman" w:hAnsi="Times New Roman" w:cs="Times New Roman"/>
          <w:b/>
          <w:sz w:val="24"/>
          <w:szCs w:val="24"/>
        </w:rPr>
        <w:tab/>
      </w:r>
    </w:p>
    <w:p w14:paraId="500DA304" w14:textId="1461B3C0" w:rsidR="006322A7" w:rsidRDefault="006322A7" w:rsidP="006322A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6EACA12C" w14:textId="033978BD" w:rsidR="006322A7" w:rsidRPr="006322A7" w:rsidRDefault="006322A7" w:rsidP="006322A7">
      <w:pPr>
        <w:spacing w:line="360" w:lineRule="auto"/>
        <w:jc w:val="both"/>
        <w:rPr>
          <w:rFonts w:ascii="Times New Roman" w:hAnsi="Times New Roman" w:cs="Times New Roman"/>
          <w:b/>
          <w:bCs/>
          <w:sz w:val="24"/>
          <w:szCs w:val="24"/>
        </w:rPr>
      </w:pPr>
      <w:r w:rsidRPr="006322A7">
        <w:rPr>
          <w:rFonts w:ascii="Times New Roman" w:hAnsi="Times New Roman" w:cs="Times New Roman"/>
          <w:b/>
          <w:bCs/>
          <w:sz w:val="24"/>
          <w:szCs w:val="24"/>
        </w:rPr>
        <w:t>Internal Audit Planning</w:t>
      </w:r>
    </w:p>
    <w:p w14:paraId="6FB01615" w14:textId="77777777" w:rsidR="006322A7" w:rsidRPr="006322A7" w:rsidRDefault="006322A7" w:rsidP="006322A7">
      <w:pPr>
        <w:spacing w:line="360" w:lineRule="auto"/>
        <w:jc w:val="both"/>
        <w:rPr>
          <w:rFonts w:ascii="Times New Roman" w:hAnsi="Times New Roman" w:cs="Times New Roman"/>
          <w:sz w:val="24"/>
          <w:szCs w:val="24"/>
        </w:rPr>
      </w:pPr>
      <w:r w:rsidRPr="006322A7">
        <w:rPr>
          <w:rFonts w:ascii="Times New Roman" w:hAnsi="Times New Roman" w:cs="Times New Roman"/>
          <w:sz w:val="24"/>
          <w:szCs w:val="24"/>
        </w:rPr>
        <w:t xml:space="preserve">An </w:t>
      </w:r>
      <w:r w:rsidRPr="006322A7">
        <w:rPr>
          <w:rFonts w:ascii="Times New Roman" w:hAnsi="Times New Roman" w:cs="Times New Roman"/>
          <w:bCs/>
          <w:sz w:val="24"/>
          <w:szCs w:val="24"/>
        </w:rPr>
        <w:t>internal audit plan</w:t>
      </w:r>
      <w:r w:rsidRPr="006322A7">
        <w:rPr>
          <w:rFonts w:ascii="Times New Roman" w:hAnsi="Times New Roman" w:cs="Times New Roman"/>
          <w:sz w:val="24"/>
          <w:szCs w:val="24"/>
        </w:rPr>
        <w:t xml:space="preserve"> is a formal, strategic document that outlines the audits that will be performed within a specific period (usually annually). It is prepared by the </w:t>
      </w:r>
      <w:r w:rsidRPr="006322A7">
        <w:rPr>
          <w:rFonts w:ascii="Times New Roman" w:hAnsi="Times New Roman" w:cs="Times New Roman"/>
          <w:bCs/>
          <w:sz w:val="24"/>
          <w:szCs w:val="24"/>
        </w:rPr>
        <w:t>Chief Audit Executive (CAE)</w:t>
      </w:r>
      <w:r w:rsidRPr="006322A7">
        <w:rPr>
          <w:rFonts w:ascii="Times New Roman" w:hAnsi="Times New Roman" w:cs="Times New Roman"/>
          <w:sz w:val="24"/>
          <w:szCs w:val="24"/>
        </w:rPr>
        <w:t xml:space="preserve"> and approved by senior management and the audit committee. The purpose of the audit plan is to ensure that internal auditing efforts are aligned with organizational goals, risks, and regulatory requirements.</w:t>
      </w:r>
    </w:p>
    <w:p w14:paraId="514C22A2" w14:textId="77777777" w:rsidR="006322A7" w:rsidRPr="006322A7" w:rsidRDefault="006322A7" w:rsidP="006322A7">
      <w:pPr>
        <w:spacing w:line="360" w:lineRule="auto"/>
        <w:jc w:val="both"/>
        <w:rPr>
          <w:rFonts w:ascii="Times New Roman" w:hAnsi="Times New Roman" w:cs="Times New Roman"/>
          <w:b/>
          <w:bCs/>
          <w:sz w:val="24"/>
          <w:szCs w:val="24"/>
        </w:rPr>
      </w:pPr>
      <w:r w:rsidRPr="006322A7">
        <w:rPr>
          <w:rFonts w:ascii="Times New Roman" w:hAnsi="Times New Roman" w:cs="Times New Roman"/>
          <w:b/>
          <w:bCs/>
          <w:sz w:val="24"/>
          <w:szCs w:val="24"/>
        </w:rPr>
        <w:t>Objectives of an Internal Audit Plan</w:t>
      </w:r>
    </w:p>
    <w:p w14:paraId="0F604CF3" w14:textId="7737480F" w:rsidR="006322A7" w:rsidRDefault="006322A7" w:rsidP="006322A7">
      <w:pPr>
        <w:spacing w:line="360" w:lineRule="auto"/>
        <w:jc w:val="both"/>
        <w:rPr>
          <w:rFonts w:ascii="Times New Roman" w:hAnsi="Times New Roman" w:cs="Times New Roman"/>
          <w:sz w:val="24"/>
          <w:szCs w:val="24"/>
        </w:rPr>
      </w:pPr>
    </w:p>
    <w:p w14:paraId="1ED466D4" w14:textId="77777777" w:rsidR="00CF6C60" w:rsidRPr="006322A7" w:rsidRDefault="00CF6C60" w:rsidP="006322A7">
      <w:pPr>
        <w:spacing w:line="360" w:lineRule="auto"/>
        <w:jc w:val="both"/>
        <w:rPr>
          <w:rFonts w:ascii="Times New Roman" w:hAnsi="Times New Roman" w:cs="Times New Roman"/>
          <w:b/>
          <w:sz w:val="24"/>
          <w:szCs w:val="24"/>
        </w:rPr>
      </w:pPr>
    </w:p>
    <w:p w14:paraId="2BB32DDE" w14:textId="67219993" w:rsidR="006322A7" w:rsidRPr="006322A7" w:rsidRDefault="006322A7" w:rsidP="006322A7">
      <w:pPr>
        <w:spacing w:line="360" w:lineRule="auto"/>
        <w:jc w:val="both"/>
        <w:rPr>
          <w:rFonts w:ascii="Times New Roman" w:hAnsi="Times New Roman" w:cs="Times New Roman"/>
          <w:b/>
          <w:sz w:val="24"/>
          <w:szCs w:val="24"/>
        </w:rPr>
      </w:pPr>
      <w:r w:rsidRPr="006322A7">
        <w:rPr>
          <w:rFonts w:ascii="Times New Roman" w:hAnsi="Times New Roman" w:cs="Times New Roman"/>
          <w:b/>
          <w:sz w:val="24"/>
          <w:szCs w:val="24"/>
        </w:rPr>
        <w:t xml:space="preserve">3. Explain the COSO model along with its components.  </w:t>
      </w:r>
    </w:p>
    <w:p w14:paraId="79563FFE" w14:textId="71A7BD9F" w:rsidR="006322A7" w:rsidRDefault="006322A7" w:rsidP="006322A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14:paraId="54D07589" w14:textId="0F0D7FFC" w:rsidR="006322A7" w:rsidRPr="006322A7" w:rsidRDefault="006322A7" w:rsidP="006322A7">
      <w:pPr>
        <w:spacing w:line="360" w:lineRule="auto"/>
        <w:jc w:val="both"/>
        <w:rPr>
          <w:rFonts w:ascii="Times New Roman" w:hAnsi="Times New Roman" w:cs="Times New Roman"/>
          <w:b/>
          <w:bCs/>
          <w:sz w:val="24"/>
          <w:szCs w:val="24"/>
        </w:rPr>
      </w:pPr>
      <w:r w:rsidRPr="006322A7">
        <w:rPr>
          <w:rFonts w:ascii="Times New Roman" w:hAnsi="Times New Roman" w:cs="Times New Roman"/>
          <w:b/>
          <w:bCs/>
          <w:sz w:val="24"/>
          <w:szCs w:val="24"/>
        </w:rPr>
        <w:t>COSO Framework</w:t>
      </w:r>
    </w:p>
    <w:p w14:paraId="5C39E9BA" w14:textId="77777777" w:rsidR="006322A7" w:rsidRPr="006322A7" w:rsidRDefault="006322A7" w:rsidP="006322A7">
      <w:pPr>
        <w:spacing w:line="360" w:lineRule="auto"/>
        <w:jc w:val="both"/>
        <w:rPr>
          <w:rFonts w:ascii="Times New Roman" w:hAnsi="Times New Roman" w:cs="Times New Roman"/>
          <w:sz w:val="24"/>
          <w:szCs w:val="24"/>
        </w:rPr>
      </w:pPr>
      <w:r w:rsidRPr="006322A7">
        <w:rPr>
          <w:rFonts w:ascii="Times New Roman" w:hAnsi="Times New Roman" w:cs="Times New Roman"/>
          <w:sz w:val="24"/>
          <w:szCs w:val="24"/>
        </w:rPr>
        <w:t xml:space="preserve">The </w:t>
      </w:r>
      <w:r w:rsidRPr="006322A7">
        <w:rPr>
          <w:rFonts w:ascii="Times New Roman" w:hAnsi="Times New Roman" w:cs="Times New Roman"/>
          <w:bCs/>
          <w:sz w:val="24"/>
          <w:szCs w:val="24"/>
        </w:rPr>
        <w:t>COSO model</w:t>
      </w:r>
      <w:r w:rsidRPr="006322A7">
        <w:rPr>
          <w:rFonts w:ascii="Times New Roman" w:hAnsi="Times New Roman" w:cs="Times New Roman"/>
          <w:sz w:val="24"/>
          <w:szCs w:val="24"/>
        </w:rPr>
        <w:t xml:space="preserve">, developed by the </w:t>
      </w:r>
      <w:r w:rsidRPr="006322A7">
        <w:rPr>
          <w:rFonts w:ascii="Times New Roman" w:hAnsi="Times New Roman" w:cs="Times New Roman"/>
          <w:bCs/>
          <w:sz w:val="24"/>
          <w:szCs w:val="24"/>
        </w:rPr>
        <w:t>Committee of Sponsoring Organizations of the Treadway Commission</w:t>
      </w:r>
      <w:r w:rsidRPr="006322A7">
        <w:rPr>
          <w:rFonts w:ascii="Times New Roman" w:hAnsi="Times New Roman" w:cs="Times New Roman"/>
          <w:sz w:val="24"/>
          <w:szCs w:val="24"/>
        </w:rPr>
        <w:t>, is a globally recognized framework for designing, implementing, and evaluating internal control systems. It was introduced to improve organizational governance and reduce the risk of fraud. The model plays a crucial role in ensuring reliability in financial reporting, operational efficiency, and regulatory compliance.</w:t>
      </w:r>
    </w:p>
    <w:p w14:paraId="0FF96CDD" w14:textId="5579A4C3" w:rsidR="006322A7" w:rsidRPr="006322A7" w:rsidRDefault="006322A7" w:rsidP="00CF6C60">
      <w:pPr>
        <w:spacing w:line="360" w:lineRule="auto"/>
        <w:jc w:val="both"/>
        <w:rPr>
          <w:rFonts w:ascii="Times New Roman" w:hAnsi="Times New Roman" w:cs="Times New Roman"/>
          <w:sz w:val="24"/>
          <w:szCs w:val="24"/>
        </w:rPr>
      </w:pPr>
      <w:r w:rsidRPr="006322A7">
        <w:rPr>
          <w:rFonts w:ascii="Times New Roman" w:hAnsi="Times New Roman" w:cs="Times New Roman"/>
          <w:sz w:val="24"/>
          <w:szCs w:val="24"/>
        </w:rPr>
        <w:t xml:space="preserve">The COSO framework is based on the premise that effective internal control is a process </w:t>
      </w:r>
    </w:p>
    <w:p w14:paraId="3606B1E5" w14:textId="77777777" w:rsidR="006322A7" w:rsidRPr="006322A7" w:rsidRDefault="006322A7" w:rsidP="006322A7">
      <w:pPr>
        <w:spacing w:line="360" w:lineRule="auto"/>
        <w:jc w:val="both"/>
        <w:rPr>
          <w:rFonts w:ascii="Times New Roman" w:hAnsi="Times New Roman" w:cs="Times New Roman"/>
          <w:sz w:val="24"/>
          <w:szCs w:val="24"/>
        </w:rPr>
      </w:pPr>
    </w:p>
    <w:p w14:paraId="235934FF" w14:textId="77777777" w:rsidR="006322A7" w:rsidRDefault="006322A7" w:rsidP="006322A7">
      <w:pPr>
        <w:spacing w:line="360" w:lineRule="auto"/>
        <w:jc w:val="center"/>
        <w:rPr>
          <w:rFonts w:ascii="Times New Roman" w:hAnsi="Times New Roman" w:cs="Times New Roman"/>
          <w:b/>
          <w:sz w:val="24"/>
          <w:szCs w:val="24"/>
        </w:rPr>
      </w:pPr>
    </w:p>
    <w:p w14:paraId="39E377A8" w14:textId="6F080FF6" w:rsidR="006322A7" w:rsidRPr="006322A7" w:rsidRDefault="006322A7" w:rsidP="006322A7">
      <w:pPr>
        <w:spacing w:line="360" w:lineRule="auto"/>
        <w:jc w:val="center"/>
        <w:rPr>
          <w:rFonts w:ascii="Times New Roman" w:hAnsi="Times New Roman" w:cs="Times New Roman"/>
          <w:b/>
          <w:sz w:val="24"/>
          <w:szCs w:val="24"/>
        </w:rPr>
      </w:pPr>
      <w:r w:rsidRPr="006322A7">
        <w:rPr>
          <w:rFonts w:ascii="Times New Roman" w:hAnsi="Times New Roman" w:cs="Times New Roman"/>
          <w:b/>
          <w:sz w:val="24"/>
          <w:szCs w:val="24"/>
        </w:rPr>
        <w:t>Assignment Set – 2</w:t>
      </w:r>
    </w:p>
    <w:p w14:paraId="66723D39" w14:textId="4CB3767E" w:rsidR="006322A7" w:rsidRDefault="006322A7" w:rsidP="006322A7">
      <w:pPr>
        <w:spacing w:line="360" w:lineRule="auto"/>
        <w:jc w:val="both"/>
        <w:rPr>
          <w:rFonts w:ascii="Times New Roman" w:hAnsi="Times New Roman" w:cs="Times New Roman"/>
          <w:sz w:val="24"/>
          <w:szCs w:val="24"/>
        </w:rPr>
      </w:pPr>
    </w:p>
    <w:p w14:paraId="1BD5AAD9" w14:textId="77777777" w:rsidR="006322A7" w:rsidRPr="006322A7" w:rsidRDefault="006322A7" w:rsidP="006322A7">
      <w:pPr>
        <w:spacing w:line="360" w:lineRule="auto"/>
        <w:jc w:val="both"/>
        <w:rPr>
          <w:rFonts w:ascii="Times New Roman" w:hAnsi="Times New Roman" w:cs="Times New Roman"/>
          <w:sz w:val="24"/>
          <w:szCs w:val="24"/>
        </w:rPr>
      </w:pPr>
    </w:p>
    <w:p w14:paraId="6ED21BD8" w14:textId="47A3A1B4" w:rsidR="006322A7" w:rsidRPr="006322A7" w:rsidRDefault="006322A7" w:rsidP="006322A7">
      <w:pPr>
        <w:spacing w:line="360" w:lineRule="auto"/>
        <w:jc w:val="both"/>
        <w:rPr>
          <w:rFonts w:ascii="Times New Roman" w:hAnsi="Times New Roman" w:cs="Times New Roman"/>
          <w:b/>
          <w:sz w:val="24"/>
          <w:szCs w:val="24"/>
        </w:rPr>
      </w:pPr>
      <w:r w:rsidRPr="006322A7">
        <w:rPr>
          <w:rFonts w:ascii="Times New Roman" w:hAnsi="Times New Roman" w:cs="Times New Roman"/>
          <w:b/>
          <w:sz w:val="24"/>
          <w:szCs w:val="24"/>
        </w:rPr>
        <w:t>4. Discuss HR audit highlighting the process to be followed by an auditor. 10</w:t>
      </w:r>
    </w:p>
    <w:p w14:paraId="05B5EF58" w14:textId="3E012349" w:rsidR="006322A7" w:rsidRDefault="006322A7" w:rsidP="006322A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7C1D1592" w14:textId="3052F261" w:rsidR="006322A7" w:rsidRPr="006322A7" w:rsidRDefault="006322A7" w:rsidP="006322A7">
      <w:pPr>
        <w:spacing w:line="360" w:lineRule="auto"/>
        <w:jc w:val="both"/>
        <w:rPr>
          <w:rFonts w:ascii="Times New Roman" w:hAnsi="Times New Roman" w:cs="Times New Roman"/>
          <w:b/>
          <w:bCs/>
          <w:sz w:val="24"/>
          <w:szCs w:val="24"/>
        </w:rPr>
      </w:pPr>
      <w:r w:rsidRPr="006322A7">
        <w:rPr>
          <w:rFonts w:ascii="Times New Roman" w:hAnsi="Times New Roman" w:cs="Times New Roman"/>
          <w:b/>
          <w:bCs/>
          <w:sz w:val="24"/>
          <w:szCs w:val="24"/>
        </w:rPr>
        <w:t>HR Audit</w:t>
      </w:r>
    </w:p>
    <w:p w14:paraId="02D17E46" w14:textId="77777777" w:rsidR="006322A7" w:rsidRPr="006322A7" w:rsidRDefault="006322A7" w:rsidP="006322A7">
      <w:pPr>
        <w:spacing w:line="360" w:lineRule="auto"/>
        <w:jc w:val="both"/>
        <w:rPr>
          <w:rFonts w:ascii="Times New Roman" w:hAnsi="Times New Roman" w:cs="Times New Roman"/>
          <w:sz w:val="24"/>
          <w:szCs w:val="24"/>
        </w:rPr>
      </w:pPr>
      <w:r w:rsidRPr="006322A7">
        <w:rPr>
          <w:rFonts w:ascii="Times New Roman" w:hAnsi="Times New Roman" w:cs="Times New Roman"/>
          <w:sz w:val="24"/>
          <w:szCs w:val="24"/>
        </w:rPr>
        <w:t xml:space="preserve">A </w:t>
      </w:r>
      <w:r w:rsidRPr="006322A7">
        <w:rPr>
          <w:rFonts w:ascii="Times New Roman" w:hAnsi="Times New Roman" w:cs="Times New Roman"/>
          <w:bCs/>
          <w:sz w:val="24"/>
          <w:szCs w:val="24"/>
        </w:rPr>
        <w:t>Human Resource (HR) audit</w:t>
      </w:r>
      <w:r w:rsidRPr="006322A7">
        <w:rPr>
          <w:rFonts w:ascii="Times New Roman" w:hAnsi="Times New Roman" w:cs="Times New Roman"/>
          <w:sz w:val="24"/>
          <w:szCs w:val="24"/>
        </w:rPr>
        <w:t xml:space="preserve"> is a comprehensive method to review current HR policies, procedures, documentation, and systems to identify areas of improvement and ensure compliance with legal and regulatory requirements. It assesses how effectively the HR function supports the strategic goals of the organization. HR audits help detect issues before they become legal or operational problems.</w:t>
      </w:r>
    </w:p>
    <w:p w14:paraId="39E5FD33" w14:textId="77777777" w:rsidR="006322A7" w:rsidRPr="006322A7" w:rsidRDefault="006322A7" w:rsidP="006322A7">
      <w:pPr>
        <w:spacing w:line="360" w:lineRule="auto"/>
        <w:jc w:val="both"/>
        <w:rPr>
          <w:rFonts w:ascii="Times New Roman" w:hAnsi="Times New Roman" w:cs="Times New Roman"/>
          <w:b/>
          <w:bCs/>
          <w:sz w:val="24"/>
          <w:szCs w:val="24"/>
        </w:rPr>
      </w:pPr>
      <w:r w:rsidRPr="006322A7">
        <w:rPr>
          <w:rFonts w:ascii="Times New Roman" w:hAnsi="Times New Roman" w:cs="Times New Roman"/>
          <w:b/>
          <w:bCs/>
          <w:sz w:val="24"/>
          <w:szCs w:val="24"/>
        </w:rPr>
        <w:t>Importance of HR Audit</w:t>
      </w:r>
    </w:p>
    <w:p w14:paraId="70DCF9A8" w14:textId="36B2AD33" w:rsidR="006322A7" w:rsidRPr="006322A7" w:rsidRDefault="006322A7" w:rsidP="00CF6C60">
      <w:pPr>
        <w:spacing w:line="360" w:lineRule="auto"/>
        <w:jc w:val="both"/>
        <w:rPr>
          <w:rFonts w:ascii="Times New Roman" w:hAnsi="Times New Roman" w:cs="Times New Roman"/>
          <w:sz w:val="24"/>
          <w:szCs w:val="24"/>
        </w:rPr>
      </w:pPr>
      <w:r w:rsidRPr="006322A7">
        <w:rPr>
          <w:rFonts w:ascii="Times New Roman" w:hAnsi="Times New Roman" w:cs="Times New Roman"/>
          <w:sz w:val="24"/>
          <w:szCs w:val="24"/>
        </w:rPr>
        <w:t xml:space="preserve">HR audits are essential for minimizing risk, improving HR effectiveness, and ensuring that an </w:t>
      </w:r>
    </w:p>
    <w:p w14:paraId="22FA67C9" w14:textId="77777777" w:rsidR="006322A7" w:rsidRPr="006322A7" w:rsidRDefault="006322A7" w:rsidP="006322A7">
      <w:pPr>
        <w:spacing w:line="360" w:lineRule="auto"/>
        <w:jc w:val="both"/>
        <w:rPr>
          <w:rFonts w:ascii="Times New Roman" w:hAnsi="Times New Roman" w:cs="Times New Roman"/>
          <w:sz w:val="24"/>
          <w:szCs w:val="24"/>
        </w:rPr>
      </w:pPr>
    </w:p>
    <w:p w14:paraId="4609C888" w14:textId="20B0DC4C" w:rsidR="006322A7" w:rsidRPr="006322A7" w:rsidRDefault="006322A7" w:rsidP="006322A7">
      <w:pPr>
        <w:spacing w:line="360" w:lineRule="auto"/>
        <w:jc w:val="both"/>
        <w:rPr>
          <w:rFonts w:ascii="Times New Roman" w:hAnsi="Times New Roman" w:cs="Times New Roman"/>
          <w:b/>
          <w:sz w:val="24"/>
          <w:szCs w:val="24"/>
        </w:rPr>
      </w:pPr>
      <w:r w:rsidRPr="006322A7">
        <w:rPr>
          <w:rFonts w:ascii="Times New Roman" w:hAnsi="Times New Roman" w:cs="Times New Roman"/>
          <w:b/>
          <w:sz w:val="24"/>
          <w:szCs w:val="24"/>
        </w:rPr>
        <w:t>5. Write a note on usage of Data Analytics in Internal Audit.  10</w:t>
      </w:r>
      <w:r w:rsidRPr="006322A7">
        <w:rPr>
          <w:rFonts w:ascii="Times New Roman" w:hAnsi="Times New Roman" w:cs="Times New Roman"/>
          <w:b/>
          <w:sz w:val="24"/>
          <w:szCs w:val="24"/>
        </w:rPr>
        <w:tab/>
      </w:r>
    </w:p>
    <w:p w14:paraId="5A033645" w14:textId="3B9C1BFD" w:rsidR="006322A7" w:rsidRDefault="006322A7" w:rsidP="006322A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24F4AFC9" w14:textId="6B37E2C3" w:rsidR="006322A7" w:rsidRPr="006322A7" w:rsidRDefault="006322A7" w:rsidP="006322A7">
      <w:pPr>
        <w:spacing w:line="360" w:lineRule="auto"/>
        <w:jc w:val="both"/>
        <w:rPr>
          <w:rFonts w:ascii="Times New Roman" w:hAnsi="Times New Roman" w:cs="Times New Roman"/>
          <w:b/>
          <w:bCs/>
          <w:sz w:val="24"/>
          <w:szCs w:val="24"/>
        </w:rPr>
      </w:pPr>
      <w:r w:rsidRPr="006322A7">
        <w:rPr>
          <w:rFonts w:ascii="Times New Roman" w:hAnsi="Times New Roman" w:cs="Times New Roman"/>
          <w:b/>
          <w:bCs/>
          <w:sz w:val="24"/>
          <w:szCs w:val="24"/>
        </w:rPr>
        <w:t>Data Analytics in Internal Audit</w:t>
      </w:r>
    </w:p>
    <w:p w14:paraId="5A088304" w14:textId="77777777" w:rsidR="006322A7" w:rsidRPr="006322A7" w:rsidRDefault="006322A7" w:rsidP="006322A7">
      <w:pPr>
        <w:spacing w:line="360" w:lineRule="auto"/>
        <w:jc w:val="both"/>
        <w:rPr>
          <w:rFonts w:ascii="Times New Roman" w:hAnsi="Times New Roman" w:cs="Times New Roman"/>
          <w:sz w:val="24"/>
          <w:szCs w:val="24"/>
        </w:rPr>
      </w:pPr>
      <w:r w:rsidRPr="006322A7">
        <w:rPr>
          <w:rFonts w:ascii="Times New Roman" w:hAnsi="Times New Roman" w:cs="Times New Roman"/>
          <w:sz w:val="24"/>
          <w:szCs w:val="24"/>
        </w:rPr>
        <w:t xml:space="preserve">In recent years, </w:t>
      </w:r>
      <w:r w:rsidRPr="006322A7">
        <w:rPr>
          <w:rFonts w:ascii="Times New Roman" w:hAnsi="Times New Roman" w:cs="Times New Roman"/>
          <w:b/>
          <w:bCs/>
          <w:sz w:val="24"/>
          <w:szCs w:val="24"/>
        </w:rPr>
        <w:t>data analytics</w:t>
      </w:r>
      <w:r w:rsidRPr="006322A7">
        <w:rPr>
          <w:rFonts w:ascii="Times New Roman" w:hAnsi="Times New Roman" w:cs="Times New Roman"/>
          <w:sz w:val="24"/>
          <w:szCs w:val="24"/>
        </w:rPr>
        <w:t xml:space="preserve"> has emerged as a transformative tool in the field of internal auditing. With businesses increasingly relying on digital systems and large volumes of data, internal auditors must move beyond traditional sampling techniques and embrace data-driven methodologies. Data analytics enables auditors to perform deeper, more accurate, and continuous audits, ultimately enhancing the assurance and advisory roles of the internal audit function.</w:t>
      </w:r>
    </w:p>
    <w:p w14:paraId="139717DB" w14:textId="77777777" w:rsidR="006322A7" w:rsidRPr="006322A7" w:rsidRDefault="006322A7" w:rsidP="006322A7">
      <w:pPr>
        <w:spacing w:line="360" w:lineRule="auto"/>
        <w:jc w:val="both"/>
        <w:rPr>
          <w:rFonts w:ascii="Times New Roman" w:hAnsi="Times New Roman" w:cs="Times New Roman"/>
          <w:b/>
          <w:bCs/>
          <w:sz w:val="24"/>
          <w:szCs w:val="24"/>
        </w:rPr>
      </w:pPr>
      <w:r w:rsidRPr="006322A7">
        <w:rPr>
          <w:rFonts w:ascii="Times New Roman" w:hAnsi="Times New Roman" w:cs="Times New Roman"/>
          <w:b/>
          <w:bCs/>
          <w:sz w:val="24"/>
          <w:szCs w:val="24"/>
        </w:rPr>
        <w:t>Role of Data Analytics in Risk Identification</w:t>
      </w:r>
    </w:p>
    <w:p w14:paraId="4F883FD1" w14:textId="7FAB47A1" w:rsidR="006322A7" w:rsidRPr="006322A7" w:rsidRDefault="006322A7" w:rsidP="00CF6C60">
      <w:pPr>
        <w:spacing w:line="360" w:lineRule="auto"/>
        <w:jc w:val="both"/>
        <w:rPr>
          <w:rFonts w:ascii="Times New Roman" w:hAnsi="Times New Roman" w:cs="Times New Roman"/>
          <w:sz w:val="24"/>
          <w:szCs w:val="24"/>
        </w:rPr>
      </w:pPr>
      <w:r w:rsidRPr="006322A7">
        <w:rPr>
          <w:rFonts w:ascii="Times New Roman" w:hAnsi="Times New Roman" w:cs="Times New Roman"/>
          <w:sz w:val="24"/>
          <w:szCs w:val="24"/>
        </w:rPr>
        <w:t xml:space="preserve">One of the </w:t>
      </w:r>
      <w:proofErr w:type="gramStart"/>
      <w:r w:rsidRPr="006322A7">
        <w:rPr>
          <w:rFonts w:ascii="Times New Roman" w:hAnsi="Times New Roman" w:cs="Times New Roman"/>
          <w:sz w:val="24"/>
          <w:szCs w:val="24"/>
        </w:rPr>
        <w:t>primary</w:t>
      </w:r>
      <w:proofErr w:type="gramEnd"/>
      <w:r w:rsidRPr="006322A7">
        <w:rPr>
          <w:rFonts w:ascii="Times New Roman" w:hAnsi="Times New Roman" w:cs="Times New Roman"/>
          <w:sz w:val="24"/>
          <w:szCs w:val="24"/>
        </w:rPr>
        <w:t xml:space="preserve"> uses of data analytics in internal audit is the identification of </w:t>
      </w:r>
      <w:r w:rsidRPr="006322A7">
        <w:rPr>
          <w:rFonts w:ascii="Times New Roman" w:hAnsi="Times New Roman" w:cs="Times New Roman"/>
          <w:b/>
          <w:bCs/>
          <w:sz w:val="24"/>
          <w:szCs w:val="24"/>
        </w:rPr>
        <w:t xml:space="preserve">key risk </w:t>
      </w:r>
    </w:p>
    <w:p w14:paraId="216AFF9C" w14:textId="77777777" w:rsidR="006322A7" w:rsidRDefault="006322A7" w:rsidP="006322A7">
      <w:pPr>
        <w:spacing w:line="360" w:lineRule="auto"/>
        <w:jc w:val="both"/>
        <w:rPr>
          <w:rFonts w:ascii="Times New Roman" w:hAnsi="Times New Roman" w:cs="Times New Roman"/>
          <w:sz w:val="24"/>
          <w:szCs w:val="24"/>
        </w:rPr>
      </w:pPr>
    </w:p>
    <w:p w14:paraId="533C3DFF" w14:textId="77777777" w:rsidR="006322A7" w:rsidRPr="006322A7" w:rsidRDefault="006322A7" w:rsidP="006322A7">
      <w:pPr>
        <w:spacing w:line="360" w:lineRule="auto"/>
        <w:jc w:val="both"/>
        <w:rPr>
          <w:rFonts w:ascii="Times New Roman" w:hAnsi="Times New Roman" w:cs="Times New Roman"/>
          <w:b/>
          <w:sz w:val="24"/>
          <w:szCs w:val="24"/>
        </w:rPr>
      </w:pPr>
    </w:p>
    <w:p w14:paraId="390526E4" w14:textId="6EEA9FDC" w:rsidR="006322A7" w:rsidRPr="006322A7" w:rsidRDefault="006322A7" w:rsidP="006322A7">
      <w:pPr>
        <w:spacing w:line="360" w:lineRule="auto"/>
        <w:jc w:val="both"/>
        <w:rPr>
          <w:rFonts w:ascii="Times New Roman" w:hAnsi="Times New Roman" w:cs="Times New Roman"/>
          <w:b/>
          <w:sz w:val="24"/>
          <w:szCs w:val="24"/>
        </w:rPr>
      </w:pPr>
      <w:r w:rsidRPr="006322A7">
        <w:rPr>
          <w:rFonts w:ascii="Times New Roman" w:hAnsi="Times New Roman" w:cs="Times New Roman"/>
          <w:b/>
          <w:sz w:val="24"/>
          <w:szCs w:val="24"/>
        </w:rPr>
        <w:t>6. Narrate CARO highlighting its applicability.   10</w:t>
      </w:r>
      <w:r w:rsidRPr="006322A7">
        <w:rPr>
          <w:rFonts w:ascii="Times New Roman" w:hAnsi="Times New Roman" w:cs="Times New Roman"/>
          <w:b/>
          <w:sz w:val="24"/>
          <w:szCs w:val="24"/>
        </w:rPr>
        <w:tab/>
      </w:r>
    </w:p>
    <w:p w14:paraId="39BBE891" w14:textId="50A9E99E" w:rsidR="006322A7" w:rsidRDefault="006322A7" w:rsidP="006322A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6381098E" w14:textId="21743D53" w:rsidR="006322A7" w:rsidRPr="006322A7" w:rsidRDefault="006322A7" w:rsidP="006322A7">
      <w:pPr>
        <w:spacing w:line="360" w:lineRule="auto"/>
        <w:jc w:val="both"/>
        <w:rPr>
          <w:rFonts w:ascii="Times New Roman" w:hAnsi="Times New Roman" w:cs="Times New Roman"/>
          <w:b/>
          <w:bCs/>
          <w:sz w:val="24"/>
          <w:szCs w:val="24"/>
        </w:rPr>
      </w:pPr>
      <w:r w:rsidRPr="006322A7">
        <w:rPr>
          <w:rFonts w:ascii="Times New Roman" w:hAnsi="Times New Roman" w:cs="Times New Roman"/>
          <w:b/>
          <w:bCs/>
          <w:sz w:val="24"/>
          <w:szCs w:val="24"/>
        </w:rPr>
        <w:t>CARO</w:t>
      </w:r>
    </w:p>
    <w:p w14:paraId="5DC7FB6A" w14:textId="68E7DDFA" w:rsidR="006322A7" w:rsidRPr="006322A7" w:rsidRDefault="006322A7" w:rsidP="00CF6C60">
      <w:pPr>
        <w:spacing w:line="360" w:lineRule="auto"/>
        <w:jc w:val="both"/>
        <w:rPr>
          <w:rFonts w:ascii="Times New Roman" w:hAnsi="Times New Roman" w:cs="Times New Roman"/>
          <w:sz w:val="24"/>
          <w:szCs w:val="24"/>
        </w:rPr>
      </w:pPr>
      <w:r w:rsidRPr="006322A7">
        <w:rPr>
          <w:rFonts w:ascii="Times New Roman" w:hAnsi="Times New Roman" w:cs="Times New Roman"/>
          <w:bCs/>
          <w:sz w:val="24"/>
          <w:szCs w:val="24"/>
        </w:rPr>
        <w:t>CARO</w:t>
      </w:r>
      <w:r w:rsidRPr="006322A7">
        <w:rPr>
          <w:rFonts w:ascii="Times New Roman" w:hAnsi="Times New Roman" w:cs="Times New Roman"/>
          <w:sz w:val="24"/>
          <w:szCs w:val="24"/>
        </w:rPr>
        <w:t xml:space="preserve">, or the </w:t>
      </w:r>
      <w:r w:rsidRPr="006322A7">
        <w:rPr>
          <w:rFonts w:ascii="Times New Roman" w:hAnsi="Times New Roman" w:cs="Times New Roman"/>
          <w:bCs/>
          <w:sz w:val="24"/>
          <w:szCs w:val="24"/>
        </w:rPr>
        <w:t>Companies (Auditor’s Report) Order</w:t>
      </w:r>
      <w:r w:rsidRPr="006322A7">
        <w:rPr>
          <w:rFonts w:ascii="Times New Roman" w:hAnsi="Times New Roman" w:cs="Times New Roman"/>
          <w:sz w:val="24"/>
          <w:szCs w:val="24"/>
        </w:rPr>
        <w:t xml:space="preserve">, is a special regulatory requirement issued by the </w:t>
      </w:r>
      <w:r w:rsidRPr="006322A7">
        <w:rPr>
          <w:rFonts w:ascii="Times New Roman" w:hAnsi="Times New Roman" w:cs="Times New Roman"/>
          <w:bCs/>
          <w:sz w:val="24"/>
          <w:szCs w:val="24"/>
        </w:rPr>
        <w:t>Ministry of Corporate Affairs (MCA)</w:t>
      </w:r>
      <w:r w:rsidRPr="006322A7">
        <w:rPr>
          <w:rFonts w:ascii="Times New Roman" w:hAnsi="Times New Roman" w:cs="Times New Roman"/>
          <w:sz w:val="24"/>
          <w:szCs w:val="24"/>
        </w:rPr>
        <w:t xml:space="preserve"> under Section 143(11) of the Companies Act, 2013. The objective of CARO is to enhance the scope of the statutory audit by mandating auditors to report on specific matters related to the financial health and operations of a company. The latest version, </w:t>
      </w:r>
      <w:r w:rsidRPr="006322A7">
        <w:rPr>
          <w:rFonts w:ascii="Times New Roman" w:hAnsi="Times New Roman" w:cs="Times New Roman"/>
          <w:bCs/>
          <w:sz w:val="24"/>
          <w:szCs w:val="24"/>
        </w:rPr>
        <w:t>CARO 2020</w:t>
      </w:r>
      <w:r w:rsidRPr="006322A7">
        <w:rPr>
          <w:rFonts w:ascii="Times New Roman" w:hAnsi="Times New Roman" w:cs="Times New Roman"/>
          <w:sz w:val="24"/>
          <w:szCs w:val="24"/>
        </w:rPr>
        <w:t xml:space="preserve">, came into effect from the financial year 2021–22 </w:t>
      </w:r>
      <w:bookmarkStart w:id="0" w:name="_GoBack"/>
      <w:bookmarkEnd w:id="0"/>
    </w:p>
    <w:p w14:paraId="0FCBBB29" w14:textId="77777777" w:rsidR="006322A7" w:rsidRPr="006322A7" w:rsidRDefault="006322A7" w:rsidP="006322A7">
      <w:pPr>
        <w:spacing w:line="360" w:lineRule="auto"/>
        <w:jc w:val="both"/>
        <w:rPr>
          <w:rFonts w:ascii="Times New Roman" w:hAnsi="Times New Roman" w:cs="Times New Roman"/>
          <w:sz w:val="24"/>
          <w:szCs w:val="24"/>
        </w:rPr>
      </w:pPr>
    </w:p>
    <w:sectPr w:rsidR="006322A7" w:rsidRPr="006322A7" w:rsidSect="006322A7">
      <w:headerReference w:type="default" r:id="rId10"/>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215DF" w14:textId="77777777" w:rsidR="005A5D17" w:rsidRDefault="005A5D17">
      <w:pPr>
        <w:spacing w:after="0" w:line="240" w:lineRule="auto"/>
      </w:pPr>
      <w:r>
        <w:separator/>
      </w:r>
    </w:p>
  </w:endnote>
  <w:endnote w:type="continuationSeparator" w:id="0">
    <w:p w14:paraId="6660D442" w14:textId="77777777" w:rsidR="005A5D17" w:rsidRDefault="005A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D8500" w14:textId="77777777" w:rsidR="005A5D17" w:rsidRDefault="005A5D17">
      <w:pPr>
        <w:spacing w:after="0" w:line="240" w:lineRule="auto"/>
      </w:pPr>
      <w:r>
        <w:separator/>
      </w:r>
    </w:p>
  </w:footnote>
  <w:footnote w:type="continuationSeparator" w:id="0">
    <w:p w14:paraId="4789571A" w14:textId="77777777" w:rsidR="005A5D17" w:rsidRDefault="005A5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13EA" w14:textId="5A02E532" w:rsidR="001E6A9F" w:rsidRPr="00021DD2" w:rsidRDefault="001E6A9F"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B04A7"/>
    <w:multiLevelType w:val="multilevel"/>
    <w:tmpl w:val="6A1E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F1577D"/>
    <w:multiLevelType w:val="multilevel"/>
    <w:tmpl w:val="1A0E0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1F70A3"/>
    <w:multiLevelType w:val="multilevel"/>
    <w:tmpl w:val="DBB2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A25154"/>
    <w:multiLevelType w:val="multilevel"/>
    <w:tmpl w:val="7FB6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141920"/>
    <w:multiLevelType w:val="multilevel"/>
    <w:tmpl w:val="2F44B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50A3412"/>
    <w:multiLevelType w:val="multilevel"/>
    <w:tmpl w:val="8404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4B4074"/>
    <w:multiLevelType w:val="multilevel"/>
    <w:tmpl w:val="D50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5BE78A7"/>
    <w:multiLevelType w:val="multilevel"/>
    <w:tmpl w:val="DFFA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680CE0"/>
    <w:multiLevelType w:val="multilevel"/>
    <w:tmpl w:val="1EA4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2"/>
  </w:num>
  <w:num w:numId="3">
    <w:abstractNumId w:val="8"/>
  </w:num>
  <w:num w:numId="4">
    <w:abstractNumId w:val="4"/>
  </w:num>
  <w:num w:numId="5">
    <w:abstractNumId w:val="5"/>
  </w:num>
  <w:num w:numId="6">
    <w:abstractNumId w:val="20"/>
  </w:num>
  <w:num w:numId="7">
    <w:abstractNumId w:val="10"/>
  </w:num>
  <w:num w:numId="8">
    <w:abstractNumId w:val="17"/>
  </w:num>
  <w:num w:numId="9">
    <w:abstractNumId w:val="13"/>
  </w:num>
  <w:num w:numId="10">
    <w:abstractNumId w:val="16"/>
  </w:num>
  <w:num w:numId="11">
    <w:abstractNumId w:val="21"/>
  </w:num>
  <w:num w:numId="12">
    <w:abstractNumId w:val="2"/>
  </w:num>
  <w:num w:numId="13">
    <w:abstractNumId w:val="1"/>
  </w:num>
  <w:num w:numId="14">
    <w:abstractNumId w:val="11"/>
  </w:num>
  <w:num w:numId="15">
    <w:abstractNumId w:val="15"/>
  </w:num>
  <w:num w:numId="16">
    <w:abstractNumId w:val="18"/>
  </w:num>
  <w:num w:numId="17">
    <w:abstractNumId w:val="19"/>
  </w:num>
  <w:num w:numId="18">
    <w:abstractNumId w:val="12"/>
  </w:num>
  <w:num w:numId="19">
    <w:abstractNumId w:val="7"/>
  </w:num>
  <w:num w:numId="20">
    <w:abstractNumId w:val="6"/>
  </w:num>
  <w:num w:numId="21">
    <w:abstractNumId w:val="9"/>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12D31"/>
    <w:rsid w:val="00021DD2"/>
    <w:rsid w:val="000C2205"/>
    <w:rsid w:val="000E1911"/>
    <w:rsid w:val="00160DBF"/>
    <w:rsid w:val="00160F0D"/>
    <w:rsid w:val="00161C2B"/>
    <w:rsid w:val="0017679D"/>
    <w:rsid w:val="001A6BC6"/>
    <w:rsid w:val="001E494A"/>
    <w:rsid w:val="001E4CD4"/>
    <w:rsid w:val="001E6A9F"/>
    <w:rsid w:val="001F4636"/>
    <w:rsid w:val="001F4C55"/>
    <w:rsid w:val="00212FCF"/>
    <w:rsid w:val="00215DE8"/>
    <w:rsid w:val="002305D9"/>
    <w:rsid w:val="0027106F"/>
    <w:rsid w:val="00274A2A"/>
    <w:rsid w:val="0029277A"/>
    <w:rsid w:val="002A7549"/>
    <w:rsid w:val="002B621C"/>
    <w:rsid w:val="002C3BC6"/>
    <w:rsid w:val="002D4402"/>
    <w:rsid w:val="002D75E6"/>
    <w:rsid w:val="00330AF0"/>
    <w:rsid w:val="00341D40"/>
    <w:rsid w:val="003A1721"/>
    <w:rsid w:val="003E5BFB"/>
    <w:rsid w:val="00426027"/>
    <w:rsid w:val="00490A6F"/>
    <w:rsid w:val="004A5629"/>
    <w:rsid w:val="004C1A52"/>
    <w:rsid w:val="004C2D2B"/>
    <w:rsid w:val="004C6CC0"/>
    <w:rsid w:val="004D4C44"/>
    <w:rsid w:val="004F72F6"/>
    <w:rsid w:val="005032DF"/>
    <w:rsid w:val="005069E2"/>
    <w:rsid w:val="00554803"/>
    <w:rsid w:val="00562407"/>
    <w:rsid w:val="005952CB"/>
    <w:rsid w:val="00595428"/>
    <w:rsid w:val="005A4423"/>
    <w:rsid w:val="005A5D17"/>
    <w:rsid w:val="005B2BD6"/>
    <w:rsid w:val="0060010A"/>
    <w:rsid w:val="00610449"/>
    <w:rsid w:val="00613481"/>
    <w:rsid w:val="006322A7"/>
    <w:rsid w:val="006826BC"/>
    <w:rsid w:val="006832DE"/>
    <w:rsid w:val="00684412"/>
    <w:rsid w:val="0068672E"/>
    <w:rsid w:val="0069306A"/>
    <w:rsid w:val="006B0D2F"/>
    <w:rsid w:val="006B7E40"/>
    <w:rsid w:val="006C35BE"/>
    <w:rsid w:val="006D31DA"/>
    <w:rsid w:val="007053FD"/>
    <w:rsid w:val="007264B5"/>
    <w:rsid w:val="007616EB"/>
    <w:rsid w:val="00765818"/>
    <w:rsid w:val="007C6DB7"/>
    <w:rsid w:val="007D6CD9"/>
    <w:rsid w:val="007F0C2B"/>
    <w:rsid w:val="007F1036"/>
    <w:rsid w:val="008117F2"/>
    <w:rsid w:val="00816193"/>
    <w:rsid w:val="00820AC7"/>
    <w:rsid w:val="00837A49"/>
    <w:rsid w:val="00840E27"/>
    <w:rsid w:val="008444C9"/>
    <w:rsid w:val="00863119"/>
    <w:rsid w:val="00875B8D"/>
    <w:rsid w:val="008903F4"/>
    <w:rsid w:val="008928A6"/>
    <w:rsid w:val="008A05BE"/>
    <w:rsid w:val="008E017F"/>
    <w:rsid w:val="00916E48"/>
    <w:rsid w:val="0092623C"/>
    <w:rsid w:val="00961C43"/>
    <w:rsid w:val="00975A9B"/>
    <w:rsid w:val="0098285D"/>
    <w:rsid w:val="009857F0"/>
    <w:rsid w:val="009B510E"/>
    <w:rsid w:val="009B7832"/>
    <w:rsid w:val="009E3AD0"/>
    <w:rsid w:val="00A6067C"/>
    <w:rsid w:val="00A65ADD"/>
    <w:rsid w:val="00A67371"/>
    <w:rsid w:val="00AB1FDB"/>
    <w:rsid w:val="00B13479"/>
    <w:rsid w:val="00B313B3"/>
    <w:rsid w:val="00B451F0"/>
    <w:rsid w:val="00B52FE8"/>
    <w:rsid w:val="00BC682B"/>
    <w:rsid w:val="00BD417C"/>
    <w:rsid w:val="00BE3DAF"/>
    <w:rsid w:val="00C226A3"/>
    <w:rsid w:val="00C644E6"/>
    <w:rsid w:val="00C806A2"/>
    <w:rsid w:val="00CC230F"/>
    <w:rsid w:val="00CF6C60"/>
    <w:rsid w:val="00D01FB6"/>
    <w:rsid w:val="00D022BD"/>
    <w:rsid w:val="00D31DFD"/>
    <w:rsid w:val="00D35033"/>
    <w:rsid w:val="00D846AB"/>
    <w:rsid w:val="00DC66E5"/>
    <w:rsid w:val="00E01D6B"/>
    <w:rsid w:val="00E02C12"/>
    <w:rsid w:val="00E305A1"/>
    <w:rsid w:val="00E618EA"/>
    <w:rsid w:val="00E63A09"/>
    <w:rsid w:val="00E673EF"/>
    <w:rsid w:val="00E82B0A"/>
    <w:rsid w:val="00EA2AFE"/>
    <w:rsid w:val="00EA792F"/>
    <w:rsid w:val="00F46D65"/>
    <w:rsid w:val="00F56982"/>
    <w:rsid w:val="00FA1868"/>
    <w:rsid w:val="00FA3FA5"/>
    <w:rsid w:val="00FA714F"/>
    <w:rsid w:val="00FC464C"/>
    <w:rsid w:val="00FE5163"/>
    <w:rsid w:val="00FE68A2"/>
    <w:rsid w:val="48D7C8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semiHidden/>
    <w:unhideWhenUsed/>
    <w:rsid w:val="00CF6C6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809248">
      <w:bodyDiv w:val="1"/>
      <w:marLeft w:val="0"/>
      <w:marRight w:val="0"/>
      <w:marTop w:val="0"/>
      <w:marBottom w:val="0"/>
      <w:divBdr>
        <w:top w:val="none" w:sz="0" w:space="0" w:color="auto"/>
        <w:left w:val="none" w:sz="0" w:space="0" w:color="auto"/>
        <w:bottom w:val="none" w:sz="0" w:space="0" w:color="auto"/>
        <w:right w:val="none" w:sz="0" w:space="0" w:color="auto"/>
      </w:divBdr>
    </w:div>
    <w:div w:id="821775619">
      <w:bodyDiv w:val="1"/>
      <w:marLeft w:val="0"/>
      <w:marRight w:val="0"/>
      <w:marTop w:val="0"/>
      <w:marBottom w:val="0"/>
      <w:divBdr>
        <w:top w:val="none" w:sz="0" w:space="0" w:color="auto"/>
        <w:left w:val="none" w:sz="0" w:space="0" w:color="auto"/>
        <w:bottom w:val="none" w:sz="0" w:space="0" w:color="auto"/>
        <w:right w:val="none" w:sz="0" w:space="0" w:color="auto"/>
      </w:divBdr>
    </w:div>
    <w:div w:id="866875067">
      <w:bodyDiv w:val="1"/>
      <w:marLeft w:val="0"/>
      <w:marRight w:val="0"/>
      <w:marTop w:val="0"/>
      <w:marBottom w:val="0"/>
      <w:divBdr>
        <w:top w:val="none" w:sz="0" w:space="0" w:color="auto"/>
        <w:left w:val="none" w:sz="0" w:space="0" w:color="auto"/>
        <w:bottom w:val="none" w:sz="0" w:space="0" w:color="auto"/>
        <w:right w:val="none" w:sz="0" w:space="0" w:color="auto"/>
      </w:divBdr>
    </w:div>
    <w:div w:id="931162483">
      <w:bodyDiv w:val="1"/>
      <w:marLeft w:val="0"/>
      <w:marRight w:val="0"/>
      <w:marTop w:val="0"/>
      <w:marBottom w:val="0"/>
      <w:divBdr>
        <w:top w:val="none" w:sz="0" w:space="0" w:color="auto"/>
        <w:left w:val="none" w:sz="0" w:space="0" w:color="auto"/>
        <w:bottom w:val="none" w:sz="0" w:space="0" w:color="auto"/>
        <w:right w:val="none" w:sz="0" w:space="0" w:color="auto"/>
      </w:divBdr>
    </w:div>
    <w:div w:id="1346050850">
      <w:bodyDiv w:val="1"/>
      <w:marLeft w:val="0"/>
      <w:marRight w:val="0"/>
      <w:marTop w:val="0"/>
      <w:marBottom w:val="0"/>
      <w:divBdr>
        <w:top w:val="none" w:sz="0" w:space="0" w:color="auto"/>
        <w:left w:val="none" w:sz="0" w:space="0" w:color="auto"/>
        <w:bottom w:val="none" w:sz="0" w:space="0" w:color="auto"/>
        <w:right w:val="none" w:sz="0" w:space="0" w:color="auto"/>
      </w:divBdr>
    </w:div>
    <w:div w:id="1619527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62</cp:revision>
  <dcterms:created xsi:type="dcterms:W3CDTF">2021-12-14T09:08:00Z</dcterms:created>
  <dcterms:modified xsi:type="dcterms:W3CDTF">2025-05-09T02:32:00Z</dcterms:modified>
</cp:coreProperties>
</file>