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B85E18" w:rsidTr="00E85FC4">
        <w:tc>
          <w:tcPr>
            <w:tcW w:w="3369" w:type="dxa"/>
          </w:tcPr>
          <w:p w:rsidR="00B85E18" w:rsidRDefault="00E85FC4" w:rsidP="00E85FC4">
            <w:pPr>
              <w:spacing w:line="360" w:lineRule="auto"/>
            </w:pPr>
            <w:r>
              <w:rPr>
                <w:b/>
                <w:bCs/>
              </w:rPr>
              <w:t>SESSION</w:t>
            </w:r>
          </w:p>
        </w:tc>
        <w:tc>
          <w:tcPr>
            <w:tcW w:w="5991" w:type="dxa"/>
          </w:tcPr>
          <w:p w:rsidR="00B85E18" w:rsidRDefault="00E85FC4" w:rsidP="00E85FC4">
            <w:pPr>
              <w:spacing w:line="360" w:lineRule="auto"/>
            </w:pPr>
            <w:r>
              <w:rPr>
                <w:b/>
                <w:bCs/>
              </w:rPr>
              <w:t>JAN - FEB 2026</w:t>
            </w:r>
          </w:p>
        </w:tc>
      </w:tr>
      <w:tr w:rsidR="00B85E18" w:rsidTr="00E85FC4">
        <w:tc>
          <w:tcPr>
            <w:tcW w:w="3369" w:type="dxa"/>
          </w:tcPr>
          <w:p w:rsidR="00B85E18" w:rsidRDefault="00E85FC4" w:rsidP="00E85FC4">
            <w:pPr>
              <w:spacing w:line="360" w:lineRule="auto"/>
            </w:pPr>
            <w:r>
              <w:rPr>
                <w:b/>
                <w:bCs/>
              </w:rPr>
              <w:t>PROGRAM</w:t>
            </w:r>
          </w:p>
        </w:tc>
        <w:tc>
          <w:tcPr>
            <w:tcW w:w="5991" w:type="dxa"/>
          </w:tcPr>
          <w:p w:rsidR="00B85E18" w:rsidRDefault="00E85FC4" w:rsidP="00E85FC4">
            <w:pPr>
              <w:spacing w:line="360" w:lineRule="auto"/>
            </w:pPr>
            <w:r>
              <w:rPr>
                <w:b/>
                <w:bCs/>
              </w:rPr>
              <w:t>BACHELOR OF BUSINESS ADMINISTRATION (BBA)</w:t>
            </w:r>
          </w:p>
        </w:tc>
      </w:tr>
      <w:tr w:rsidR="00B85E18" w:rsidTr="00E85FC4">
        <w:tc>
          <w:tcPr>
            <w:tcW w:w="3369" w:type="dxa"/>
          </w:tcPr>
          <w:p w:rsidR="00B85E18" w:rsidRDefault="00E85FC4" w:rsidP="00E85FC4">
            <w:pPr>
              <w:spacing w:line="360" w:lineRule="auto"/>
            </w:pPr>
            <w:r>
              <w:rPr>
                <w:b/>
                <w:bCs/>
              </w:rPr>
              <w:t>SEMESTER</w:t>
            </w:r>
          </w:p>
        </w:tc>
        <w:tc>
          <w:tcPr>
            <w:tcW w:w="5991" w:type="dxa"/>
          </w:tcPr>
          <w:p w:rsidR="00B85E18" w:rsidRDefault="00E85FC4" w:rsidP="00E85FC4">
            <w:pPr>
              <w:spacing w:line="360" w:lineRule="auto"/>
            </w:pPr>
            <w:r>
              <w:rPr>
                <w:b/>
                <w:bCs/>
              </w:rPr>
              <w:t>II</w:t>
            </w:r>
          </w:p>
        </w:tc>
      </w:tr>
      <w:tr w:rsidR="00B85E18" w:rsidTr="00E85FC4">
        <w:tc>
          <w:tcPr>
            <w:tcW w:w="3369" w:type="dxa"/>
          </w:tcPr>
          <w:p w:rsidR="00B85E18" w:rsidRDefault="00E85FC4" w:rsidP="00E85FC4">
            <w:pPr>
              <w:spacing w:line="360" w:lineRule="auto"/>
            </w:pPr>
            <w:r>
              <w:rPr>
                <w:b/>
                <w:bCs/>
              </w:rPr>
              <w:t>COURSE CODE &amp; NAME</w:t>
            </w:r>
          </w:p>
        </w:tc>
        <w:tc>
          <w:tcPr>
            <w:tcW w:w="5991" w:type="dxa"/>
          </w:tcPr>
          <w:p w:rsidR="00B85E18" w:rsidRDefault="00E85FC4" w:rsidP="00E85FC4">
            <w:pPr>
              <w:spacing w:line="360" w:lineRule="auto"/>
            </w:pPr>
            <w:r>
              <w:rPr>
                <w:b/>
                <w:bCs/>
              </w:rPr>
              <w:t>DBB1217 COMMUNITY DEVELOPMENT</w:t>
            </w:r>
          </w:p>
        </w:tc>
      </w:tr>
      <w:tr w:rsidR="00E85FC4" w:rsidTr="00E85FC4">
        <w:tc>
          <w:tcPr>
            <w:tcW w:w="3369" w:type="dxa"/>
          </w:tcPr>
          <w:p w:rsidR="00E85FC4" w:rsidRDefault="00E85FC4" w:rsidP="00E85FC4">
            <w:pPr>
              <w:spacing w:line="360" w:lineRule="auto"/>
              <w:rPr>
                <w:b/>
                <w:bCs/>
              </w:rPr>
            </w:pPr>
          </w:p>
        </w:tc>
        <w:tc>
          <w:tcPr>
            <w:tcW w:w="5991" w:type="dxa"/>
          </w:tcPr>
          <w:p w:rsidR="00E85FC4" w:rsidRDefault="00E85FC4" w:rsidP="00E85FC4">
            <w:pPr>
              <w:spacing w:line="360" w:lineRule="auto"/>
              <w:rPr>
                <w:b/>
                <w:bCs/>
              </w:rPr>
            </w:pPr>
          </w:p>
        </w:tc>
      </w:tr>
      <w:tr w:rsidR="00E85FC4" w:rsidTr="00E85FC4">
        <w:tc>
          <w:tcPr>
            <w:tcW w:w="3369" w:type="dxa"/>
          </w:tcPr>
          <w:p w:rsidR="00E85FC4" w:rsidRDefault="00E85FC4" w:rsidP="00E85FC4">
            <w:pPr>
              <w:spacing w:line="360" w:lineRule="auto"/>
              <w:rPr>
                <w:b/>
                <w:bCs/>
              </w:rPr>
            </w:pPr>
          </w:p>
        </w:tc>
        <w:tc>
          <w:tcPr>
            <w:tcW w:w="5991" w:type="dxa"/>
          </w:tcPr>
          <w:p w:rsidR="00E85FC4" w:rsidRDefault="00E85FC4" w:rsidP="00E85FC4">
            <w:pPr>
              <w:spacing w:line="360" w:lineRule="auto"/>
              <w:rPr>
                <w:b/>
                <w:bCs/>
              </w:rPr>
            </w:pPr>
          </w:p>
        </w:tc>
      </w:tr>
    </w:tbl>
    <w:p w:rsidR="00B85E18" w:rsidRDefault="00B85E18" w:rsidP="00E85FC4">
      <w:pPr>
        <w:spacing w:before="160" w:line="360" w:lineRule="auto"/>
      </w:pPr>
    </w:p>
    <w:p w:rsidR="00E85FC4" w:rsidRDefault="00E85FC4" w:rsidP="00E85FC4">
      <w:pPr>
        <w:spacing w:before="280" w:after="240" w:line="360" w:lineRule="auto"/>
        <w:jc w:val="center"/>
        <w:rPr>
          <w:b/>
          <w:bCs/>
          <w:color w:val="000000"/>
        </w:rPr>
      </w:pPr>
    </w:p>
    <w:p w:rsidR="00E85FC4" w:rsidRDefault="00E85FC4" w:rsidP="00E85FC4">
      <w:pPr>
        <w:spacing w:before="280" w:after="240" w:line="360" w:lineRule="auto"/>
        <w:jc w:val="center"/>
        <w:rPr>
          <w:b/>
          <w:bCs/>
          <w:color w:val="000000"/>
        </w:rPr>
      </w:pPr>
      <w:r w:rsidRPr="00E85FC4">
        <w:rPr>
          <w:b/>
          <w:bCs/>
          <w:color w:val="000000"/>
        </w:rPr>
        <w:t xml:space="preserve">Assignment Set </w:t>
      </w:r>
      <w:r>
        <w:rPr>
          <w:b/>
          <w:bCs/>
          <w:color w:val="000000"/>
        </w:rPr>
        <w:t>–</w:t>
      </w:r>
      <w:r w:rsidRPr="00E85FC4">
        <w:rPr>
          <w:b/>
          <w:bCs/>
          <w:color w:val="000000"/>
        </w:rPr>
        <w:t xml:space="preserve"> 1</w:t>
      </w:r>
    </w:p>
    <w:p w:rsidR="00E85FC4" w:rsidRDefault="00E85FC4" w:rsidP="00E85FC4">
      <w:pPr>
        <w:spacing w:before="280" w:after="240" w:line="360" w:lineRule="auto"/>
        <w:jc w:val="both"/>
        <w:rPr>
          <w:b/>
          <w:bCs/>
          <w:color w:val="000000"/>
        </w:rPr>
      </w:pPr>
    </w:p>
    <w:p w:rsidR="00B85E18" w:rsidRDefault="00E85FC4" w:rsidP="00E85FC4">
      <w:pPr>
        <w:spacing w:before="280" w:after="240" w:line="360" w:lineRule="auto"/>
        <w:jc w:val="both"/>
      </w:pPr>
      <w:r>
        <w:rPr>
          <w:b/>
          <w:bCs/>
          <w:color w:val="000000"/>
        </w:rPr>
        <w:t xml:space="preserve">Q.1. </w:t>
      </w:r>
      <w:proofErr w:type="gramStart"/>
      <w:r>
        <w:rPr>
          <w:b/>
          <w:bCs/>
          <w:color w:val="000000"/>
        </w:rPr>
        <w:t>How</w:t>
      </w:r>
      <w:proofErr w:type="gramEnd"/>
      <w:r>
        <w:rPr>
          <w:b/>
          <w:bCs/>
          <w:color w:val="000000"/>
        </w:rPr>
        <w:t xml:space="preserve"> can responsible data use and technology (like digital tools) help in solving real community problems? (10 Marks)</w:t>
      </w:r>
    </w:p>
    <w:p w:rsidR="00B85E18" w:rsidRDefault="00E85FC4" w:rsidP="00E85FC4">
      <w:pPr>
        <w:spacing w:before="60" w:after="240" w:line="360" w:lineRule="auto"/>
        <w:jc w:val="both"/>
      </w:pPr>
      <w:proofErr w:type="gramStart"/>
      <w:r>
        <w:rPr>
          <w:b/>
          <w:bCs/>
          <w:color w:val="000000"/>
        </w:rPr>
        <w:t>Ans 1.</w:t>
      </w:r>
      <w:proofErr w:type="gramEnd"/>
    </w:p>
    <w:p w:rsidR="00B85E18" w:rsidRDefault="00E85FC4" w:rsidP="00E85FC4">
      <w:pPr>
        <w:spacing w:before="60" w:after="240" w:line="360" w:lineRule="auto"/>
        <w:jc w:val="both"/>
      </w:pPr>
      <w:r>
        <w:rPr>
          <w:color w:val="000000"/>
        </w:rPr>
        <w:t>Technology and responsible data use have become transformative forces in addressing persistent community problems. From health access to water management, digital tools enable communities to identify problems with precision, allocate resources more fairly, and measure outcomes more accurately. When deployed ethically and inclusively, technology amplifies the impact of community development efforts across diverse socioeconomic contexts.</w:t>
      </w:r>
    </w:p>
    <w:p w:rsidR="00B85E18" w:rsidRDefault="00E85FC4" w:rsidP="00E85FC4">
      <w:pPr>
        <w:spacing w:before="180" w:after="240" w:line="360" w:lineRule="auto"/>
        <w:jc w:val="both"/>
      </w:pPr>
      <w:r>
        <w:rPr>
          <w:b/>
          <w:bCs/>
          <w:color w:val="000000"/>
        </w:rPr>
        <w:t>Responsible Data Use in Community Problem-Solving</w:t>
      </w:r>
    </w:p>
    <w:p w:rsidR="008D75FE" w:rsidRDefault="00E85FC4" w:rsidP="008D75FE">
      <w:pPr>
        <w:spacing w:before="60" w:after="240" w:line="360" w:lineRule="auto"/>
        <w:jc w:val="both"/>
        <w:rPr>
          <w:color w:val="000000"/>
        </w:rPr>
      </w:pPr>
      <w:r>
        <w:rPr>
          <w:color w:val="000000"/>
        </w:rPr>
        <w:t xml:space="preserve">Responsible data use involves collecting, analyzing, and applying community data </w:t>
      </w:r>
    </w:p>
    <w:p w:rsidR="008D75FE" w:rsidRPr="008D75FE" w:rsidRDefault="008D75FE" w:rsidP="008D75FE">
      <w:pPr>
        <w:spacing w:after="200" w:line="276" w:lineRule="auto"/>
        <w:jc w:val="center"/>
        <w:rPr>
          <w:rFonts w:eastAsia="Calibri"/>
          <w:sz w:val="32"/>
          <w:lang w:val="en-IN"/>
        </w:rPr>
      </w:pPr>
      <w:r w:rsidRPr="008D75FE">
        <w:rPr>
          <w:rFonts w:eastAsia="Calibri"/>
          <w:sz w:val="32"/>
          <w:lang w:val="en-IN"/>
        </w:rPr>
        <w:t>MUJ</w:t>
      </w:r>
    </w:p>
    <w:p w:rsidR="008D75FE" w:rsidRPr="008D75FE" w:rsidRDefault="008D75FE" w:rsidP="008D75FE">
      <w:pPr>
        <w:shd w:val="clear" w:color="auto" w:fill="FFFFFF"/>
        <w:jc w:val="center"/>
        <w:rPr>
          <w:rFonts w:ascii="Arial" w:eastAsia="Calibri" w:hAnsi="Arial"/>
          <w:color w:val="222222"/>
          <w:sz w:val="20"/>
          <w:szCs w:val="20"/>
          <w:lang w:val="en-IN"/>
        </w:rPr>
      </w:pPr>
      <w:proofErr w:type="gramStart"/>
      <w:r w:rsidRPr="008D75FE">
        <w:rPr>
          <w:rFonts w:ascii="Georgia" w:eastAsia="Calibri" w:hAnsi="Georgia"/>
          <w:color w:val="000000"/>
          <w:sz w:val="33"/>
          <w:szCs w:val="33"/>
          <w:highlight w:val="cyan"/>
          <w:shd w:val="clear" w:color="auto" w:fill="FF0000"/>
          <w:lang w:val="en-IN"/>
        </w:rPr>
        <w:t>Its</w:t>
      </w:r>
      <w:proofErr w:type="gramEnd"/>
      <w:r w:rsidRPr="008D75FE">
        <w:rPr>
          <w:rFonts w:ascii="Georgia" w:eastAsia="Calibri" w:hAnsi="Georgia"/>
          <w:color w:val="000000"/>
          <w:sz w:val="33"/>
          <w:szCs w:val="33"/>
          <w:highlight w:val="cyan"/>
          <w:shd w:val="clear" w:color="auto" w:fill="FF0000"/>
          <w:lang w:val="en-IN"/>
        </w:rPr>
        <w:t xml:space="preserve"> Half solved only</w:t>
      </w:r>
    </w:p>
    <w:p w:rsidR="008D75FE" w:rsidRPr="008D75FE" w:rsidRDefault="008D75FE" w:rsidP="008D75FE">
      <w:pPr>
        <w:shd w:val="clear" w:color="auto" w:fill="FFFFFF"/>
        <w:spacing w:before="240" w:after="240"/>
        <w:jc w:val="center"/>
        <w:rPr>
          <w:rFonts w:ascii="Georgia" w:eastAsia="Calibri" w:hAnsi="Georgia"/>
          <w:sz w:val="40"/>
          <w:szCs w:val="33"/>
          <w:shd w:val="clear" w:color="auto" w:fill="FFFF00"/>
          <w:lang w:val="en-IN"/>
        </w:rPr>
      </w:pPr>
      <w:r w:rsidRPr="008D75FE">
        <w:rPr>
          <w:rFonts w:ascii="Georgia" w:eastAsia="Calibri" w:hAnsi="Georgia"/>
          <w:sz w:val="40"/>
          <w:szCs w:val="33"/>
          <w:shd w:val="clear" w:color="auto" w:fill="FFFF00"/>
          <w:lang w:val="en-IN"/>
        </w:rPr>
        <w:t xml:space="preserve">Buy </w:t>
      </w:r>
      <w:proofErr w:type="gramStart"/>
      <w:r w:rsidRPr="008D75FE">
        <w:rPr>
          <w:rFonts w:ascii="Georgia" w:eastAsia="Calibri" w:hAnsi="Georgia"/>
          <w:sz w:val="40"/>
          <w:szCs w:val="33"/>
          <w:shd w:val="clear" w:color="auto" w:fill="FFFF00"/>
          <w:lang w:val="en-IN"/>
        </w:rPr>
        <w:t>Complete</w:t>
      </w:r>
      <w:proofErr w:type="gramEnd"/>
      <w:r w:rsidRPr="008D75FE">
        <w:rPr>
          <w:rFonts w:ascii="Georgia" w:eastAsia="Calibri" w:hAnsi="Georgia"/>
          <w:sz w:val="40"/>
          <w:szCs w:val="33"/>
          <w:shd w:val="clear" w:color="auto" w:fill="FFFF00"/>
          <w:lang w:val="en-IN"/>
        </w:rPr>
        <w:t xml:space="preserve"> assignment from us</w:t>
      </w:r>
    </w:p>
    <w:p w:rsidR="008D75FE" w:rsidRPr="008D75FE" w:rsidRDefault="008D75FE" w:rsidP="008D75FE">
      <w:pPr>
        <w:shd w:val="clear" w:color="auto" w:fill="FFFFFF"/>
        <w:spacing w:before="240" w:after="240"/>
        <w:jc w:val="center"/>
        <w:rPr>
          <w:rFonts w:ascii="Georgia" w:eastAsia="Calibri" w:hAnsi="Georgia"/>
          <w:b/>
          <w:color w:val="222222"/>
          <w:sz w:val="33"/>
          <w:szCs w:val="33"/>
          <w:shd w:val="clear" w:color="auto" w:fill="FFFF00"/>
          <w:lang w:val="en-IN"/>
        </w:rPr>
      </w:pPr>
      <w:r w:rsidRPr="008D75FE">
        <w:rPr>
          <w:rFonts w:ascii="Georgia" w:eastAsia="Calibri" w:hAnsi="Georgia"/>
          <w:b/>
          <w:color w:val="222222"/>
          <w:sz w:val="33"/>
          <w:szCs w:val="33"/>
          <w:shd w:val="clear" w:color="auto" w:fill="FFFF00"/>
          <w:lang w:val="en-IN"/>
        </w:rPr>
        <w:lastRenderedPageBreak/>
        <w:t>Price – 190</w:t>
      </w:r>
      <w:proofErr w:type="gramStart"/>
      <w:r w:rsidRPr="008D75FE">
        <w:rPr>
          <w:rFonts w:ascii="Georgia" w:eastAsia="Calibri" w:hAnsi="Georgia"/>
          <w:b/>
          <w:color w:val="222222"/>
          <w:sz w:val="33"/>
          <w:szCs w:val="33"/>
          <w:shd w:val="clear" w:color="auto" w:fill="FFFF00"/>
          <w:lang w:val="en-IN"/>
        </w:rPr>
        <w:t>/  assignment</w:t>
      </w:r>
      <w:proofErr w:type="gramEnd"/>
    </w:p>
    <w:p w:rsidR="008D75FE" w:rsidRPr="008D75FE" w:rsidRDefault="008D75FE" w:rsidP="008D75FE">
      <w:pPr>
        <w:spacing w:before="240" w:after="240"/>
        <w:jc w:val="center"/>
        <w:rPr>
          <w:rFonts w:ascii="Georgia" w:eastAsia="Calibri" w:hAnsi="Georgia"/>
          <w:b/>
          <w:color w:val="FF0000"/>
          <w:sz w:val="36"/>
          <w:szCs w:val="36"/>
          <w:lang w:val="en-IN"/>
        </w:rPr>
      </w:pPr>
      <w:r w:rsidRPr="008D75FE">
        <w:rPr>
          <w:rFonts w:ascii="Georgia" w:eastAsia="Calibri" w:hAnsi="Georgia"/>
          <w:b/>
          <w:sz w:val="40"/>
          <w:szCs w:val="40"/>
          <w:lang w:val="en-IN"/>
        </w:rPr>
        <w:t xml:space="preserve">MUJ </w:t>
      </w:r>
      <w:r w:rsidRPr="008D75FE">
        <w:rPr>
          <w:rFonts w:ascii="Georgia" w:eastAsia="Calibri" w:hAnsi="Georgia"/>
          <w:b/>
          <w:sz w:val="40"/>
          <w:szCs w:val="40"/>
          <w:highlight w:val="yellow"/>
          <w:lang w:val="en-IN"/>
        </w:rPr>
        <w:t>Manipal University</w:t>
      </w:r>
      <w:r w:rsidRPr="008D75FE">
        <w:rPr>
          <w:rFonts w:ascii="Georgia" w:eastAsia="Calibri" w:hAnsi="Georgia"/>
          <w:b/>
          <w:color w:val="222222"/>
          <w:sz w:val="33"/>
          <w:szCs w:val="33"/>
          <w:highlight w:val="yellow"/>
          <w:shd w:val="clear" w:color="auto" w:fill="FFFF00"/>
          <w:lang w:val="en-IN"/>
        </w:rPr>
        <w:t xml:space="preserve"> </w:t>
      </w:r>
      <w:r w:rsidRPr="008D75FE">
        <w:rPr>
          <w:rFonts w:ascii="Georgia" w:eastAsia="Calibri" w:hAnsi="Georgia"/>
          <w:b/>
          <w:sz w:val="36"/>
          <w:szCs w:val="36"/>
          <w:lang w:val="en-IN"/>
        </w:rPr>
        <w:t xml:space="preserve">Complete </w:t>
      </w:r>
      <w:proofErr w:type="gramStart"/>
      <w:r w:rsidRPr="008D75FE">
        <w:rPr>
          <w:rFonts w:ascii="Georgia" w:eastAsia="Calibri" w:hAnsi="Georgia"/>
          <w:b/>
          <w:sz w:val="36"/>
          <w:szCs w:val="36"/>
          <w:lang w:val="en-IN"/>
        </w:rPr>
        <w:t>SolvedAssignments</w:t>
      </w:r>
      <w:r w:rsidRPr="008D75FE">
        <w:rPr>
          <w:rFonts w:ascii="Georgia" w:eastAsia="Calibri" w:hAnsi="Georgia"/>
          <w:b/>
          <w:bCs/>
          <w:color w:val="FFFFFF"/>
          <w:sz w:val="36"/>
          <w:szCs w:val="36"/>
          <w:highlight w:val="red"/>
          <w:shd w:val="clear" w:color="auto" w:fill="FFFF00"/>
          <w:lang w:val="en-IN"/>
        </w:rPr>
        <w:t xml:space="preserve">  JAN</w:t>
      </w:r>
      <w:proofErr w:type="gramEnd"/>
      <w:r w:rsidRPr="008D75FE">
        <w:rPr>
          <w:rFonts w:ascii="Georgia" w:eastAsia="Calibri" w:hAnsi="Georgia"/>
          <w:b/>
          <w:bCs/>
          <w:color w:val="FFFFFF"/>
          <w:sz w:val="36"/>
          <w:szCs w:val="36"/>
          <w:highlight w:val="red"/>
          <w:shd w:val="clear" w:color="auto" w:fill="FFFF00"/>
          <w:lang w:val="en-IN"/>
        </w:rPr>
        <w:t>- FEB  202</w:t>
      </w:r>
      <w:r w:rsidR="00D556DE">
        <w:rPr>
          <w:rFonts w:ascii="Georgia" w:eastAsia="Calibri" w:hAnsi="Georgia"/>
          <w:b/>
          <w:bCs/>
          <w:color w:val="FFFFFF"/>
          <w:sz w:val="36"/>
          <w:szCs w:val="36"/>
          <w:highlight w:val="red"/>
          <w:shd w:val="clear" w:color="auto" w:fill="FFFF00"/>
          <w:lang w:val="en-IN"/>
        </w:rPr>
        <w:t>6</w:t>
      </w:r>
    </w:p>
    <w:p w:rsidR="008D75FE" w:rsidRPr="008D75FE" w:rsidRDefault="008D75FE" w:rsidP="008D75FE">
      <w:pPr>
        <w:spacing w:before="240" w:after="240"/>
        <w:jc w:val="center"/>
        <w:rPr>
          <w:rFonts w:ascii="Georgia" w:eastAsia="Calibri" w:hAnsi="Georgia"/>
          <w:sz w:val="32"/>
          <w:szCs w:val="32"/>
          <w:lang w:val="en-IN"/>
        </w:rPr>
      </w:pPr>
      <w:proofErr w:type="gramStart"/>
      <w:r w:rsidRPr="008D75FE">
        <w:rPr>
          <w:rFonts w:ascii="Georgia" w:eastAsia="Calibri" w:hAnsi="Georgia"/>
          <w:sz w:val="32"/>
          <w:szCs w:val="32"/>
          <w:lang w:val="en-IN"/>
        </w:rPr>
        <w:t>buy</w:t>
      </w:r>
      <w:proofErr w:type="gramEnd"/>
      <w:r w:rsidRPr="008D75FE">
        <w:rPr>
          <w:rFonts w:ascii="Georgia" w:eastAsia="Calibri" w:hAnsi="Georgia"/>
          <w:sz w:val="32"/>
          <w:szCs w:val="32"/>
          <w:lang w:val="en-IN"/>
        </w:rPr>
        <w:t xml:space="preserve"> cheap assignment help online from us easily</w:t>
      </w:r>
    </w:p>
    <w:p w:rsidR="008D75FE" w:rsidRPr="008D75FE" w:rsidRDefault="008D75FE" w:rsidP="008D75FE">
      <w:pPr>
        <w:spacing w:before="240" w:after="240"/>
        <w:jc w:val="center"/>
        <w:rPr>
          <w:rFonts w:ascii="Georgia" w:eastAsia="Calibri" w:hAnsi="Georgia"/>
          <w:sz w:val="32"/>
          <w:szCs w:val="32"/>
          <w:lang w:val="en-GB"/>
        </w:rPr>
      </w:pPr>
      <w:proofErr w:type="gramStart"/>
      <w:r w:rsidRPr="008D75FE">
        <w:rPr>
          <w:rFonts w:ascii="Georgia" w:eastAsia="Calibri" w:hAnsi="Georgia"/>
          <w:sz w:val="32"/>
          <w:szCs w:val="32"/>
          <w:lang w:val="en-IN"/>
        </w:rPr>
        <w:t>we</w:t>
      </w:r>
      <w:proofErr w:type="gramEnd"/>
      <w:r w:rsidRPr="008D75FE">
        <w:rPr>
          <w:rFonts w:ascii="Georgia" w:eastAsia="Calibri" w:hAnsi="Georgia"/>
          <w:sz w:val="32"/>
          <w:szCs w:val="32"/>
          <w:lang w:val="en-IN"/>
        </w:rPr>
        <w:t xml:space="preserve"> are here to help you with the best and cheap help </w:t>
      </w:r>
    </w:p>
    <w:p w:rsidR="008D75FE" w:rsidRPr="008D75FE" w:rsidRDefault="008D75FE" w:rsidP="008D75FE">
      <w:pPr>
        <w:spacing w:before="240" w:after="240"/>
        <w:jc w:val="center"/>
        <w:rPr>
          <w:rFonts w:ascii="Georgia" w:eastAsia="Calibri" w:hAnsi="Georgia"/>
          <w:b/>
          <w:sz w:val="44"/>
          <w:szCs w:val="44"/>
          <w:lang w:val="en-IN"/>
        </w:rPr>
      </w:pPr>
      <w:r w:rsidRPr="008D75FE">
        <w:rPr>
          <w:rFonts w:ascii="Georgia" w:eastAsia="Calibri" w:hAnsi="Georgia"/>
          <w:b/>
          <w:sz w:val="36"/>
          <w:szCs w:val="36"/>
          <w:lang w:val="en-IN"/>
        </w:rPr>
        <w:t>Contact No –</w:t>
      </w:r>
      <w:r w:rsidRPr="008D75FE">
        <w:rPr>
          <w:rFonts w:ascii="Georgia" w:eastAsia="Calibri" w:hAnsi="Georgia"/>
          <w:b/>
          <w:sz w:val="44"/>
          <w:szCs w:val="44"/>
          <w:lang w:val="en-IN"/>
        </w:rPr>
        <w:t xml:space="preserve"> </w:t>
      </w:r>
      <w:r w:rsidRPr="008D75FE">
        <w:rPr>
          <w:rFonts w:ascii="Georgia" w:eastAsia="Calibri" w:hAnsi="Georgia"/>
          <w:b/>
          <w:sz w:val="40"/>
          <w:szCs w:val="40"/>
          <w:highlight w:val="yellow"/>
          <w:lang w:val="en-IN"/>
        </w:rPr>
        <w:t>8791514139</w:t>
      </w:r>
      <w:r w:rsidRPr="008D75FE">
        <w:rPr>
          <w:rFonts w:ascii="Georgia" w:eastAsia="Calibri" w:hAnsi="Georgia"/>
          <w:b/>
          <w:sz w:val="40"/>
          <w:szCs w:val="40"/>
          <w:lang w:val="en-IN"/>
        </w:rPr>
        <w:t xml:space="preserve"> (WhatsApp)</w:t>
      </w:r>
    </w:p>
    <w:p w:rsidR="008D75FE" w:rsidRPr="008D75FE" w:rsidRDefault="008D75FE" w:rsidP="008D75FE">
      <w:pPr>
        <w:spacing w:before="240" w:after="240"/>
        <w:jc w:val="center"/>
        <w:rPr>
          <w:rFonts w:ascii="Georgia" w:eastAsia="Calibri" w:hAnsi="Georgia"/>
          <w:b/>
          <w:sz w:val="32"/>
          <w:szCs w:val="32"/>
          <w:lang w:val="en-IN"/>
        </w:rPr>
      </w:pPr>
      <w:r w:rsidRPr="008D75FE">
        <w:rPr>
          <w:rFonts w:ascii="Georgia" w:eastAsia="Calibri" w:hAnsi="Georgia"/>
          <w:b/>
          <w:sz w:val="32"/>
          <w:szCs w:val="32"/>
          <w:lang w:val="en-IN"/>
        </w:rPr>
        <w:t>OR</w:t>
      </w:r>
    </w:p>
    <w:p w:rsidR="008D75FE" w:rsidRPr="008D75FE" w:rsidRDefault="008D75FE" w:rsidP="008D75FE">
      <w:pPr>
        <w:spacing w:before="240" w:after="240"/>
        <w:jc w:val="center"/>
        <w:rPr>
          <w:rFonts w:ascii="Georgia" w:eastAsia="Calibri" w:hAnsi="Georgia"/>
          <w:b/>
          <w:sz w:val="32"/>
          <w:szCs w:val="32"/>
          <w:lang w:val="en-IN"/>
        </w:rPr>
      </w:pPr>
      <w:r w:rsidRPr="008D75FE">
        <w:rPr>
          <w:rFonts w:ascii="Georgia" w:eastAsia="Calibri" w:hAnsi="Georgia"/>
          <w:b/>
          <w:sz w:val="32"/>
          <w:szCs w:val="32"/>
          <w:lang w:val="en-IN"/>
        </w:rPr>
        <w:t>Mail us</w:t>
      </w:r>
      <w:proofErr w:type="gramStart"/>
      <w:r w:rsidRPr="008D75FE">
        <w:rPr>
          <w:rFonts w:ascii="Georgia" w:eastAsia="Calibri" w:hAnsi="Georgia"/>
          <w:b/>
          <w:sz w:val="32"/>
          <w:szCs w:val="32"/>
          <w:lang w:val="en-IN"/>
        </w:rPr>
        <w:t xml:space="preserve">-  </w:t>
      </w:r>
      <w:proofErr w:type="gramEnd"/>
      <w:r w:rsidR="00965ACC" w:rsidRPr="008D75FE">
        <w:rPr>
          <w:rFonts w:ascii="Calibri" w:eastAsia="Calibri" w:hAnsi="Calibri"/>
          <w:sz w:val="22"/>
          <w:szCs w:val="22"/>
          <w:lang w:val="en-IN"/>
        </w:rPr>
        <w:fldChar w:fldCharType="begin"/>
      </w:r>
      <w:r w:rsidRPr="008D75FE">
        <w:rPr>
          <w:rFonts w:ascii="Calibri" w:eastAsia="Calibri" w:hAnsi="Calibri"/>
          <w:sz w:val="22"/>
          <w:szCs w:val="22"/>
          <w:lang w:val="en-IN"/>
        </w:rPr>
        <w:instrText>HYPERLINK "mailto:bestassignment247@gmail.com"</w:instrText>
      </w:r>
      <w:r w:rsidR="00965ACC" w:rsidRPr="008D75FE">
        <w:rPr>
          <w:rFonts w:ascii="Calibri" w:eastAsia="Calibri" w:hAnsi="Calibri"/>
          <w:sz w:val="22"/>
          <w:szCs w:val="22"/>
          <w:lang w:val="en-IN"/>
        </w:rPr>
        <w:fldChar w:fldCharType="separate"/>
      </w:r>
      <w:r w:rsidRPr="008D75FE">
        <w:rPr>
          <w:rFonts w:ascii="Georgia" w:eastAsia="Calibri" w:hAnsi="Georgia"/>
          <w:color w:val="0000FF"/>
          <w:sz w:val="32"/>
          <w:szCs w:val="22"/>
          <w:u w:val="single"/>
          <w:lang w:val="en-IN"/>
        </w:rPr>
        <w:t>bestassignment247@gmail.com</w:t>
      </w:r>
      <w:r w:rsidR="00965ACC" w:rsidRPr="008D75FE">
        <w:rPr>
          <w:rFonts w:ascii="Calibri" w:eastAsia="Calibri" w:hAnsi="Calibri"/>
          <w:sz w:val="22"/>
          <w:szCs w:val="22"/>
          <w:lang w:val="en-IN"/>
        </w:rPr>
        <w:fldChar w:fldCharType="end"/>
      </w:r>
    </w:p>
    <w:p w:rsidR="008D75FE" w:rsidRPr="008D75FE" w:rsidRDefault="008D75FE" w:rsidP="008D75FE">
      <w:pPr>
        <w:spacing w:before="240" w:after="240"/>
        <w:jc w:val="center"/>
        <w:rPr>
          <w:rFonts w:ascii="Georgia" w:eastAsia="Calibri" w:hAnsi="Georgia"/>
          <w:b/>
          <w:color w:val="7030A0"/>
          <w:sz w:val="32"/>
          <w:szCs w:val="32"/>
          <w:lang w:val="en-IN"/>
        </w:rPr>
      </w:pPr>
      <w:r w:rsidRPr="008D75FE">
        <w:rPr>
          <w:rFonts w:ascii="Georgia" w:eastAsia="Calibri" w:hAnsi="Georgia"/>
          <w:b/>
          <w:sz w:val="32"/>
          <w:szCs w:val="32"/>
          <w:lang w:val="en-IN"/>
        </w:rPr>
        <w:t xml:space="preserve">Our website - </w:t>
      </w:r>
      <w:hyperlink r:id="rId5" w:history="1">
        <w:r w:rsidRPr="008D75FE">
          <w:rPr>
            <w:rFonts w:ascii="Georgia" w:eastAsia="Calibri" w:hAnsi="Georgia"/>
            <w:color w:val="0000FF"/>
            <w:sz w:val="32"/>
            <w:u w:val="single"/>
            <w:lang w:val="en-IN"/>
          </w:rPr>
          <w:t>https://muj.assignmentsupport.in/</w:t>
        </w:r>
      </w:hyperlink>
    </w:p>
    <w:p w:rsidR="008D75FE" w:rsidRDefault="008D75FE" w:rsidP="00E85FC4">
      <w:pPr>
        <w:spacing w:before="280" w:after="240" w:line="360" w:lineRule="auto"/>
        <w:jc w:val="both"/>
        <w:rPr>
          <w:color w:val="000000"/>
        </w:rPr>
      </w:pPr>
    </w:p>
    <w:p w:rsidR="00B85E18" w:rsidRDefault="00E85FC4" w:rsidP="00E85FC4">
      <w:pPr>
        <w:spacing w:before="280" w:after="240" w:line="360" w:lineRule="auto"/>
        <w:jc w:val="both"/>
      </w:pPr>
      <w:r>
        <w:rPr>
          <w:b/>
          <w:bCs/>
          <w:color w:val="000000"/>
        </w:rPr>
        <w:t>Q.2. Highlight the significance of collaboration in community development and describe the joint role of government and NGOs. (5+5 = 10 Marks)</w:t>
      </w:r>
    </w:p>
    <w:p w:rsidR="00B85E18" w:rsidRDefault="00E85FC4" w:rsidP="00E85FC4">
      <w:pPr>
        <w:spacing w:before="60" w:after="240" w:line="360" w:lineRule="auto"/>
        <w:jc w:val="both"/>
      </w:pPr>
      <w:proofErr w:type="gramStart"/>
      <w:r>
        <w:rPr>
          <w:b/>
          <w:bCs/>
          <w:color w:val="000000"/>
        </w:rPr>
        <w:t>Ans 2.</w:t>
      </w:r>
      <w:proofErr w:type="gramEnd"/>
    </w:p>
    <w:p w:rsidR="00B85E18" w:rsidRDefault="00E85FC4" w:rsidP="00E85FC4">
      <w:pPr>
        <w:spacing w:before="60" w:after="240" w:line="360" w:lineRule="auto"/>
        <w:jc w:val="both"/>
      </w:pPr>
      <w:r>
        <w:rPr>
          <w:color w:val="000000"/>
        </w:rPr>
        <w:t>Community development requires coordinated effort from multiple stakeholders because no single organization has the resources, legitimacy, and local reach needed to address complex social challenges alone. Collaboration between government institutions and non-governmental organizations represents one of the most impactful partnerships in development practice, combining public authority and scale with civil society agility and community trust.</w:t>
      </w:r>
    </w:p>
    <w:p w:rsidR="00B85E18" w:rsidRDefault="00E85FC4" w:rsidP="00E85FC4">
      <w:pPr>
        <w:spacing w:before="180" w:after="240" w:line="360" w:lineRule="auto"/>
        <w:jc w:val="both"/>
      </w:pPr>
      <w:r>
        <w:rPr>
          <w:b/>
          <w:bCs/>
          <w:color w:val="000000"/>
        </w:rPr>
        <w:t>Significance of Collaboration in Community Development</w:t>
      </w:r>
    </w:p>
    <w:p w:rsidR="00B85E18" w:rsidRDefault="00E85FC4" w:rsidP="008D75FE">
      <w:pPr>
        <w:spacing w:before="60" w:after="240" w:line="360" w:lineRule="auto"/>
        <w:jc w:val="both"/>
      </w:pPr>
      <w:r>
        <w:rPr>
          <w:color w:val="000000"/>
        </w:rPr>
        <w:t xml:space="preserve">Collaboration brings together complementary strengths that no single actor possesses </w:t>
      </w:r>
    </w:p>
    <w:p w:rsidR="00E85FC4" w:rsidRDefault="00E85FC4" w:rsidP="00E85FC4">
      <w:pPr>
        <w:spacing w:before="280" w:after="240" w:line="360" w:lineRule="auto"/>
        <w:jc w:val="both"/>
        <w:rPr>
          <w:color w:val="666666"/>
          <w:sz w:val="18"/>
          <w:szCs w:val="18"/>
        </w:rPr>
      </w:pPr>
    </w:p>
    <w:p w:rsidR="00B85E18" w:rsidRDefault="00E85FC4" w:rsidP="00E85FC4">
      <w:pPr>
        <w:spacing w:before="280" w:after="240" w:line="360" w:lineRule="auto"/>
        <w:jc w:val="both"/>
      </w:pPr>
      <w:r>
        <w:rPr>
          <w:b/>
          <w:bCs/>
          <w:color w:val="000000"/>
        </w:rPr>
        <w:t>Q.3. Describe how theory, policy, and practice are connected in community development, using examples. (10 Marks)</w:t>
      </w:r>
    </w:p>
    <w:p w:rsidR="00B85E18" w:rsidRDefault="00E85FC4" w:rsidP="00E85FC4">
      <w:pPr>
        <w:spacing w:before="60" w:after="240" w:line="360" w:lineRule="auto"/>
        <w:jc w:val="both"/>
      </w:pPr>
      <w:proofErr w:type="gramStart"/>
      <w:r>
        <w:rPr>
          <w:b/>
          <w:bCs/>
          <w:color w:val="000000"/>
        </w:rPr>
        <w:t>Ans 3.</w:t>
      </w:r>
      <w:proofErr w:type="gramEnd"/>
    </w:p>
    <w:p w:rsidR="00B85E18" w:rsidRDefault="00E85FC4" w:rsidP="008D75FE">
      <w:pPr>
        <w:spacing w:before="60" w:after="240" w:line="360" w:lineRule="auto"/>
        <w:jc w:val="both"/>
        <w:rPr>
          <w:color w:val="000000"/>
        </w:rPr>
      </w:pPr>
      <w:r>
        <w:rPr>
          <w:color w:val="000000"/>
        </w:rPr>
        <w:lastRenderedPageBreak/>
        <w:t xml:space="preserve">Community development operates at the intersection of theory, policy, and practice. Theory provides the conceptual framework for understanding social change. Policy translates theory into institutional frameworks and resource commitments. Practice is where these meet reality in specific community contexts. The strength and coherence of connections between these three levels determines the effectiveness and sustainability of development interventions </w:t>
      </w:r>
    </w:p>
    <w:p w:rsidR="008D75FE" w:rsidRDefault="008D75FE" w:rsidP="008D75FE">
      <w:pPr>
        <w:spacing w:before="60" w:after="240" w:line="360" w:lineRule="auto"/>
        <w:jc w:val="both"/>
      </w:pPr>
    </w:p>
    <w:p w:rsidR="00E85FC4" w:rsidRDefault="00E85FC4" w:rsidP="00E85FC4">
      <w:pPr>
        <w:spacing w:before="280" w:after="240" w:line="360" w:lineRule="auto"/>
        <w:jc w:val="center"/>
        <w:rPr>
          <w:b/>
          <w:bCs/>
          <w:color w:val="000000"/>
        </w:rPr>
      </w:pPr>
      <w:r w:rsidRPr="00E85FC4">
        <w:rPr>
          <w:b/>
          <w:bCs/>
          <w:color w:val="000000"/>
        </w:rPr>
        <w:t xml:space="preserve">Assignment Set </w:t>
      </w:r>
      <w:r>
        <w:rPr>
          <w:b/>
          <w:bCs/>
          <w:color w:val="000000"/>
        </w:rPr>
        <w:t>–</w:t>
      </w:r>
      <w:r w:rsidRPr="00E85FC4">
        <w:rPr>
          <w:b/>
          <w:bCs/>
          <w:color w:val="000000"/>
        </w:rPr>
        <w:t xml:space="preserve"> 2</w:t>
      </w:r>
    </w:p>
    <w:p w:rsidR="00E85FC4" w:rsidRDefault="00E85FC4" w:rsidP="00E85FC4">
      <w:pPr>
        <w:spacing w:before="280" w:after="240" w:line="360" w:lineRule="auto"/>
        <w:jc w:val="both"/>
        <w:rPr>
          <w:b/>
          <w:bCs/>
          <w:color w:val="000000"/>
        </w:rPr>
      </w:pPr>
    </w:p>
    <w:p w:rsidR="00B85E18" w:rsidRDefault="00E85FC4" w:rsidP="00E85FC4">
      <w:pPr>
        <w:spacing w:before="280" w:after="240" w:line="360" w:lineRule="auto"/>
        <w:jc w:val="both"/>
      </w:pPr>
      <w:r>
        <w:rPr>
          <w:b/>
          <w:bCs/>
          <w:color w:val="000000"/>
        </w:rPr>
        <w:t>Q.4. Discuss the role of Self-Help Groups (SHGs) in promoting financial inclusion and women's empowerment in India with an example. (10 Marks)</w:t>
      </w:r>
    </w:p>
    <w:p w:rsidR="00B85E18" w:rsidRDefault="00E85FC4" w:rsidP="00E85FC4">
      <w:pPr>
        <w:spacing w:before="60" w:after="240" w:line="360" w:lineRule="auto"/>
        <w:jc w:val="both"/>
      </w:pPr>
      <w:proofErr w:type="gramStart"/>
      <w:r>
        <w:rPr>
          <w:b/>
          <w:bCs/>
          <w:color w:val="000000"/>
        </w:rPr>
        <w:t>Ans 4.</w:t>
      </w:r>
      <w:proofErr w:type="gramEnd"/>
    </w:p>
    <w:p w:rsidR="00B85E18" w:rsidRDefault="00E85FC4" w:rsidP="00E85FC4">
      <w:pPr>
        <w:spacing w:before="60" w:after="240" w:line="360" w:lineRule="auto"/>
        <w:jc w:val="both"/>
      </w:pPr>
      <w:r>
        <w:rPr>
          <w:color w:val="000000"/>
        </w:rPr>
        <w:t>Self-Help Groups have emerged as one of India's most successful community development innovations, creating pathways to financial inclusion and women's empowerment at scale. By organizing women into small, cohesive savings and credit groups, SHGs bridge the gap between the formal financial system and millions of marginalized rural women who were previously excluded from banking services and economic participation.</w:t>
      </w:r>
    </w:p>
    <w:p w:rsidR="00B85E18" w:rsidRDefault="00E85FC4" w:rsidP="00E85FC4">
      <w:pPr>
        <w:spacing w:before="180" w:after="240" w:line="360" w:lineRule="auto"/>
        <w:jc w:val="both"/>
      </w:pPr>
      <w:r>
        <w:rPr>
          <w:b/>
          <w:bCs/>
          <w:color w:val="000000"/>
        </w:rPr>
        <w:t>SHGs and Financial Inclusion</w:t>
      </w:r>
    </w:p>
    <w:p w:rsidR="00B85E18" w:rsidRDefault="00E85FC4" w:rsidP="008D75FE">
      <w:pPr>
        <w:spacing w:before="60" w:after="240" w:line="360" w:lineRule="auto"/>
        <w:jc w:val="both"/>
      </w:pPr>
      <w:r>
        <w:rPr>
          <w:color w:val="000000"/>
        </w:rPr>
        <w:t xml:space="preserve">Self-Help Groups typically consist of 10 to 20 women from similar economic backgrounds </w:t>
      </w:r>
    </w:p>
    <w:p w:rsidR="00E85FC4" w:rsidRDefault="00E85FC4" w:rsidP="00E85FC4">
      <w:pPr>
        <w:spacing w:before="280" w:after="240" w:line="360" w:lineRule="auto"/>
        <w:jc w:val="both"/>
        <w:rPr>
          <w:color w:val="666666"/>
          <w:sz w:val="18"/>
          <w:szCs w:val="18"/>
        </w:rPr>
      </w:pPr>
    </w:p>
    <w:p w:rsidR="00B85E18" w:rsidRDefault="00E85FC4" w:rsidP="00E85FC4">
      <w:pPr>
        <w:spacing w:before="280" w:after="240" w:line="360" w:lineRule="auto"/>
        <w:jc w:val="both"/>
      </w:pPr>
      <w:r>
        <w:rPr>
          <w:b/>
          <w:bCs/>
          <w:color w:val="000000"/>
        </w:rPr>
        <w:t>Q.5. Imagine a rural community in India adopting digital tools for development. Explain how different components of ICT are used in this process with examples. (10 Marks)</w:t>
      </w:r>
    </w:p>
    <w:p w:rsidR="00B85E18" w:rsidRDefault="00E85FC4" w:rsidP="00E85FC4">
      <w:pPr>
        <w:spacing w:before="60" w:after="240" w:line="360" w:lineRule="auto"/>
        <w:jc w:val="both"/>
      </w:pPr>
      <w:proofErr w:type="gramStart"/>
      <w:r>
        <w:rPr>
          <w:b/>
          <w:bCs/>
          <w:color w:val="000000"/>
        </w:rPr>
        <w:t>Ans 5.</w:t>
      </w:r>
      <w:proofErr w:type="gramEnd"/>
    </w:p>
    <w:p w:rsidR="00B85E18" w:rsidRDefault="00E85FC4" w:rsidP="00E85FC4">
      <w:pPr>
        <w:spacing w:before="60" w:after="240" w:line="360" w:lineRule="auto"/>
        <w:jc w:val="both"/>
      </w:pPr>
      <w:r>
        <w:rPr>
          <w:color w:val="000000"/>
        </w:rPr>
        <w:t xml:space="preserve">Information and Communication Technology has become an indispensable enabler of rural development in India, bridging geographic distance, information gaps, and service access barriers that have historically marginalized rural communities. When designed with </w:t>
      </w:r>
      <w:r>
        <w:rPr>
          <w:color w:val="000000"/>
        </w:rPr>
        <w:lastRenderedPageBreak/>
        <w:t>community needs at the center, ICT components including mobile phones, internet connectivity, software applications, and digital payments collectively transform the quality and inclusiveness of rural development outcomes.</w:t>
      </w:r>
    </w:p>
    <w:p w:rsidR="00B85E18" w:rsidRDefault="00E85FC4" w:rsidP="00E85FC4">
      <w:pPr>
        <w:spacing w:before="180" w:after="240" w:line="360" w:lineRule="auto"/>
        <w:jc w:val="both"/>
      </w:pPr>
      <w:r>
        <w:rPr>
          <w:b/>
          <w:bCs/>
          <w:color w:val="000000"/>
        </w:rPr>
        <w:t>Mobile Telephony as the Foundation</w:t>
      </w:r>
    </w:p>
    <w:p w:rsidR="00B85E18" w:rsidRDefault="00E85FC4" w:rsidP="008D75FE">
      <w:pPr>
        <w:spacing w:before="60" w:after="240" w:line="360" w:lineRule="auto"/>
        <w:jc w:val="both"/>
        <w:rPr>
          <w:color w:val="000000"/>
        </w:rPr>
      </w:pPr>
      <w:r>
        <w:rPr>
          <w:color w:val="000000"/>
        </w:rPr>
        <w:t xml:space="preserve">Mobile phones are the most widely adopted ICT component in rural India, with penetration </w:t>
      </w:r>
    </w:p>
    <w:p w:rsidR="008D75FE" w:rsidRDefault="008D75FE" w:rsidP="008D75FE">
      <w:pPr>
        <w:spacing w:before="60" w:after="240" w:line="360" w:lineRule="auto"/>
        <w:jc w:val="both"/>
      </w:pPr>
    </w:p>
    <w:p w:rsidR="00E85FC4" w:rsidRDefault="00E85FC4" w:rsidP="00E85FC4">
      <w:pPr>
        <w:spacing w:before="280" w:after="240" w:line="360" w:lineRule="auto"/>
        <w:jc w:val="both"/>
        <w:rPr>
          <w:color w:val="666666"/>
          <w:sz w:val="18"/>
          <w:szCs w:val="18"/>
        </w:rPr>
      </w:pPr>
    </w:p>
    <w:p w:rsidR="00B85E18" w:rsidRDefault="00E85FC4" w:rsidP="00E85FC4">
      <w:pPr>
        <w:spacing w:before="280" w:after="240" w:line="360" w:lineRule="auto"/>
        <w:jc w:val="both"/>
      </w:pPr>
      <w:r>
        <w:rPr>
          <w:b/>
          <w:bCs/>
          <w:color w:val="000000"/>
        </w:rPr>
        <w:t>Q.6. Describe how COVID-19 in India highlighted the link between crisis management and community development, focusing on communication and trust among people. (10 Marks)</w:t>
      </w:r>
    </w:p>
    <w:p w:rsidR="00B85E18" w:rsidRDefault="00E85FC4" w:rsidP="00E85FC4">
      <w:pPr>
        <w:spacing w:before="60" w:after="240" w:line="360" w:lineRule="auto"/>
        <w:jc w:val="both"/>
      </w:pPr>
      <w:proofErr w:type="gramStart"/>
      <w:r>
        <w:rPr>
          <w:b/>
          <w:bCs/>
          <w:color w:val="000000"/>
        </w:rPr>
        <w:t>Ans 6.</w:t>
      </w:r>
      <w:proofErr w:type="gramEnd"/>
    </w:p>
    <w:p w:rsidR="00B85E18" w:rsidRDefault="00E85FC4" w:rsidP="008D75FE">
      <w:pPr>
        <w:spacing w:before="60" w:after="240" w:line="360" w:lineRule="auto"/>
        <w:jc w:val="both"/>
      </w:pPr>
      <w:r>
        <w:rPr>
          <w:color w:val="000000"/>
        </w:rPr>
        <w:t xml:space="preserve">The COVID-19 pandemic was the most severe public health and socioeconomic crisis India faced in decades, exposing both the vulnerabilities and the resilience of communities across the country. The pandemic dramatically illustrated how effective crisis management depends on pre-existing community development infrastructure, trust networks, and communication systems that are built through sustained development investment, not only in moments of </w:t>
      </w:r>
    </w:p>
    <w:p w:rsidR="00B85E18" w:rsidRDefault="00B85E18" w:rsidP="00E85FC4">
      <w:pPr>
        <w:spacing w:before="40" w:after="240" w:line="360" w:lineRule="auto"/>
      </w:pPr>
    </w:p>
    <w:sectPr w:rsidR="00B85E18" w:rsidSect="00B85E18">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34C27"/>
    <w:multiLevelType w:val="hybridMultilevel"/>
    <w:tmpl w:val="66CAE506"/>
    <w:lvl w:ilvl="0" w:tplc="DC0A04A4">
      <w:start w:val="1"/>
      <w:numFmt w:val="bullet"/>
      <w:lvlText w:val="●"/>
      <w:lvlJc w:val="left"/>
      <w:pPr>
        <w:ind w:left="720" w:hanging="360"/>
      </w:pPr>
    </w:lvl>
    <w:lvl w:ilvl="1" w:tplc="7930B694">
      <w:start w:val="1"/>
      <w:numFmt w:val="bullet"/>
      <w:lvlText w:val="○"/>
      <w:lvlJc w:val="left"/>
      <w:pPr>
        <w:ind w:left="1440" w:hanging="360"/>
      </w:pPr>
    </w:lvl>
    <w:lvl w:ilvl="2" w:tplc="DC7652E6">
      <w:start w:val="1"/>
      <w:numFmt w:val="bullet"/>
      <w:lvlText w:val="■"/>
      <w:lvlJc w:val="left"/>
      <w:pPr>
        <w:ind w:left="2160" w:hanging="360"/>
      </w:pPr>
    </w:lvl>
    <w:lvl w:ilvl="3" w:tplc="BE7C1D3A">
      <w:start w:val="1"/>
      <w:numFmt w:val="bullet"/>
      <w:lvlText w:val="●"/>
      <w:lvlJc w:val="left"/>
      <w:pPr>
        <w:ind w:left="2880" w:hanging="360"/>
      </w:pPr>
    </w:lvl>
    <w:lvl w:ilvl="4" w:tplc="98AA3B0E">
      <w:start w:val="1"/>
      <w:numFmt w:val="bullet"/>
      <w:lvlText w:val="○"/>
      <w:lvlJc w:val="left"/>
      <w:pPr>
        <w:ind w:left="3600" w:hanging="360"/>
      </w:pPr>
    </w:lvl>
    <w:lvl w:ilvl="5" w:tplc="16FE6074">
      <w:start w:val="1"/>
      <w:numFmt w:val="bullet"/>
      <w:lvlText w:val="■"/>
      <w:lvlJc w:val="left"/>
      <w:pPr>
        <w:ind w:left="4320" w:hanging="360"/>
      </w:pPr>
    </w:lvl>
    <w:lvl w:ilvl="6" w:tplc="A5B0D2DA">
      <w:start w:val="1"/>
      <w:numFmt w:val="bullet"/>
      <w:lvlText w:val="●"/>
      <w:lvlJc w:val="left"/>
      <w:pPr>
        <w:ind w:left="5040" w:hanging="360"/>
      </w:pPr>
    </w:lvl>
    <w:lvl w:ilvl="7" w:tplc="A1A25B2A">
      <w:start w:val="1"/>
      <w:numFmt w:val="bullet"/>
      <w:lvlText w:val="●"/>
      <w:lvlJc w:val="left"/>
      <w:pPr>
        <w:ind w:left="5760" w:hanging="360"/>
      </w:pPr>
    </w:lvl>
    <w:lvl w:ilvl="8" w:tplc="F22AB6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B85E18"/>
    <w:rsid w:val="00702BBF"/>
    <w:rsid w:val="008D75FE"/>
    <w:rsid w:val="00965ACC"/>
    <w:rsid w:val="00B85E18"/>
    <w:rsid w:val="00D556DE"/>
    <w:rsid w:val="00E85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BF"/>
  </w:style>
  <w:style w:type="paragraph" w:styleId="Heading1">
    <w:name w:val="heading 1"/>
    <w:qFormat/>
    <w:rsid w:val="00B85E18"/>
    <w:pPr>
      <w:outlineLvl w:val="0"/>
    </w:pPr>
    <w:rPr>
      <w:color w:val="2E74B5"/>
      <w:sz w:val="32"/>
      <w:szCs w:val="32"/>
    </w:rPr>
  </w:style>
  <w:style w:type="paragraph" w:styleId="Heading2">
    <w:name w:val="heading 2"/>
    <w:qFormat/>
    <w:rsid w:val="00B85E18"/>
    <w:pPr>
      <w:outlineLvl w:val="1"/>
    </w:pPr>
    <w:rPr>
      <w:color w:val="2E74B5"/>
      <w:sz w:val="26"/>
      <w:szCs w:val="26"/>
    </w:rPr>
  </w:style>
  <w:style w:type="paragraph" w:styleId="Heading3">
    <w:name w:val="heading 3"/>
    <w:qFormat/>
    <w:rsid w:val="00B85E18"/>
    <w:pPr>
      <w:outlineLvl w:val="2"/>
    </w:pPr>
    <w:rPr>
      <w:color w:val="1F4D78"/>
    </w:rPr>
  </w:style>
  <w:style w:type="paragraph" w:styleId="Heading4">
    <w:name w:val="heading 4"/>
    <w:qFormat/>
    <w:rsid w:val="00B85E18"/>
    <w:pPr>
      <w:outlineLvl w:val="3"/>
    </w:pPr>
    <w:rPr>
      <w:i/>
      <w:iCs/>
      <w:color w:val="2E74B5"/>
    </w:rPr>
  </w:style>
  <w:style w:type="paragraph" w:styleId="Heading5">
    <w:name w:val="heading 5"/>
    <w:qFormat/>
    <w:rsid w:val="00B85E18"/>
    <w:pPr>
      <w:outlineLvl w:val="4"/>
    </w:pPr>
    <w:rPr>
      <w:color w:val="2E74B5"/>
    </w:rPr>
  </w:style>
  <w:style w:type="paragraph" w:styleId="Heading6">
    <w:name w:val="heading 6"/>
    <w:qFormat/>
    <w:rsid w:val="00B85E1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85E18"/>
    <w:rPr>
      <w:sz w:val="56"/>
      <w:szCs w:val="56"/>
    </w:rPr>
  </w:style>
  <w:style w:type="paragraph" w:customStyle="1" w:styleId="Strong1">
    <w:name w:val="Strong1"/>
    <w:qFormat/>
    <w:rsid w:val="00B85E18"/>
    <w:rPr>
      <w:b/>
      <w:bCs/>
    </w:rPr>
  </w:style>
  <w:style w:type="paragraph" w:styleId="ListParagraph">
    <w:name w:val="List Paragraph"/>
    <w:qFormat/>
    <w:rsid w:val="00B85E18"/>
  </w:style>
  <w:style w:type="character" w:styleId="Hyperlink">
    <w:name w:val="Hyperlink"/>
    <w:uiPriority w:val="99"/>
    <w:unhideWhenUsed/>
    <w:rsid w:val="00B85E18"/>
    <w:rPr>
      <w:color w:val="0563C1"/>
      <w:u w:val="single"/>
    </w:rPr>
  </w:style>
  <w:style w:type="character" w:styleId="FootnoteReference">
    <w:name w:val="footnote reference"/>
    <w:uiPriority w:val="99"/>
    <w:semiHidden/>
    <w:unhideWhenUsed/>
    <w:rsid w:val="00B85E18"/>
    <w:rPr>
      <w:vertAlign w:val="superscript"/>
    </w:rPr>
  </w:style>
  <w:style w:type="paragraph" w:styleId="FootnoteText">
    <w:name w:val="footnote text"/>
    <w:link w:val="FootnoteTextChar"/>
    <w:uiPriority w:val="99"/>
    <w:semiHidden/>
    <w:unhideWhenUsed/>
    <w:rsid w:val="00B85E18"/>
    <w:rPr>
      <w:sz w:val="20"/>
      <w:szCs w:val="20"/>
    </w:rPr>
  </w:style>
  <w:style w:type="character" w:customStyle="1" w:styleId="FootnoteTextChar">
    <w:name w:val="Footnote Text Char"/>
    <w:link w:val="FootnoteText"/>
    <w:uiPriority w:val="99"/>
    <w:semiHidden/>
    <w:unhideWhenUsed/>
    <w:rsid w:val="00B85E18"/>
    <w:rPr>
      <w:sz w:val="20"/>
      <w:szCs w:val="20"/>
    </w:rPr>
  </w:style>
  <w:style w:type="character" w:styleId="EndnoteReference">
    <w:name w:val="endnote reference"/>
    <w:uiPriority w:val="99"/>
    <w:semiHidden/>
    <w:unhideWhenUsed/>
    <w:rsid w:val="00B85E18"/>
    <w:rPr>
      <w:vertAlign w:val="superscript"/>
    </w:rPr>
  </w:style>
  <w:style w:type="paragraph" w:styleId="EndnoteText">
    <w:name w:val="endnote text"/>
    <w:link w:val="EndnoteTextChar"/>
    <w:uiPriority w:val="99"/>
    <w:semiHidden/>
    <w:unhideWhenUsed/>
    <w:rsid w:val="00B85E18"/>
    <w:rPr>
      <w:sz w:val="20"/>
      <w:szCs w:val="20"/>
    </w:rPr>
  </w:style>
  <w:style w:type="character" w:customStyle="1" w:styleId="EndnoteTextChar">
    <w:name w:val="Endnote Text Char"/>
    <w:link w:val="EndnoteText"/>
    <w:uiPriority w:val="99"/>
    <w:semiHidden/>
    <w:unhideWhenUsed/>
    <w:rsid w:val="00B85E18"/>
    <w:rPr>
      <w:sz w:val="20"/>
      <w:szCs w:val="20"/>
    </w:rPr>
  </w:style>
  <w:style w:type="table" w:styleId="TableGrid">
    <w:name w:val="Table Grid"/>
    <w:basedOn w:val="TableNormal"/>
    <w:uiPriority w:val="59"/>
    <w:rsid w:val="00E85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2026-04-15T20:13:00Z</dcterms:created>
  <dcterms:modified xsi:type="dcterms:W3CDTF">2026-04-15T22:17:00Z</dcterms:modified>
</cp:coreProperties>
</file>